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/>
          <w:b/>
          <w:b/>
          <w:outline/>
          <w:color w:val="4472C4"/>
          <w:sz w:val="36"/>
          <w:szCs w:val="36"/>
          <w:highlight w:val="yellow"/>
        </w:rPr>
      </w:pPr>
      <w:r>
        <w:rPr>
          <w:rFonts w:ascii="Cambria" w:hAnsi="Cambria"/>
          <w:b/>
          <w:outline/>
          <w:color w:val="4472C4"/>
          <w:sz w:val="36"/>
          <w:szCs w:val="36"/>
          <w:highlight w:val="yellow"/>
        </w:rPr>
      </w:r>
    </w:p>
    <w:p>
      <w:pPr>
        <w:pStyle w:val="Normal"/>
        <w:jc w:val="center"/>
        <w:rPr/>
      </w:pPr>
      <w:r>
        <w:rPr>
          <w:rFonts w:ascii="Cambria" w:hAnsi="Cambria"/>
          <w:b/>
          <w:outline/>
          <w:color w:val="4472C4"/>
          <w:sz w:val="36"/>
          <w:szCs w:val="36"/>
          <w:highlight w:val="yellow"/>
          <w:lang w:val="ru-RU"/>
        </w:rPr>
        <w:t>ЛУКСОЗНА НОВА</w:t>
      </w:r>
      <w:r>
        <w:rPr>
          <w:rFonts w:cs="Times New Roman" w:ascii="Cambria" w:hAnsi="Cambria"/>
          <w:b/>
          <w:outline/>
          <w:color w:val="4472C4"/>
          <w:sz w:val="36"/>
          <w:szCs w:val="36"/>
          <w:highlight w:val="yellow"/>
          <w:lang w:val="ru-RU"/>
        </w:rPr>
        <w:t xml:space="preserve"> </w:t>
      </w:r>
      <w:r>
        <w:rPr>
          <w:rFonts w:ascii="Cambria" w:hAnsi="Cambria"/>
          <w:b/>
          <w:outline/>
          <w:color w:val="4472C4"/>
          <w:sz w:val="36"/>
          <w:szCs w:val="36"/>
          <w:highlight w:val="yellow"/>
          <w:lang w:val="ru-RU"/>
        </w:rPr>
        <w:t>ГОДИНА</w:t>
      </w:r>
      <w:r>
        <w:rPr>
          <w:rFonts w:cs="Times New Roman" w:ascii="Cambria" w:hAnsi="Cambria"/>
          <w:b/>
          <w:outline/>
          <w:color w:val="4472C4"/>
          <w:sz w:val="36"/>
          <w:szCs w:val="36"/>
          <w:highlight w:val="yellow"/>
          <w:lang w:val="ru-RU"/>
        </w:rPr>
        <w:t xml:space="preserve"> </w:t>
      </w:r>
      <w:r>
        <w:rPr>
          <w:rFonts w:ascii="Cambria" w:hAnsi="Cambria"/>
          <w:b/>
          <w:outline/>
          <w:color w:val="4472C4"/>
          <w:sz w:val="36"/>
          <w:szCs w:val="36"/>
          <w:highlight w:val="yellow"/>
          <w:lang w:val="ru-RU"/>
        </w:rPr>
        <w:t>В</w:t>
      </w:r>
      <w:r>
        <w:rPr>
          <w:rFonts w:cs="Times New Roman" w:ascii="Cambria" w:hAnsi="Cambria"/>
          <w:b/>
          <w:outline/>
          <w:color w:val="4472C4"/>
          <w:sz w:val="36"/>
          <w:szCs w:val="36"/>
          <w:highlight w:val="yellow"/>
          <w:lang w:val="ru-RU"/>
        </w:rPr>
        <w:t xml:space="preserve"> </w:t>
      </w:r>
      <w:r>
        <w:rPr>
          <w:rFonts w:ascii="Cambria" w:hAnsi="Cambria"/>
          <w:b/>
          <w:outline/>
          <w:color w:val="4472C4"/>
          <w:sz w:val="36"/>
          <w:szCs w:val="36"/>
          <w:highlight w:val="yellow"/>
          <w:lang w:val="ru-RU"/>
        </w:rPr>
        <w:t>ИСТАНБУЛ</w:t>
      </w:r>
      <w:r>
        <w:rPr>
          <w:rFonts w:cs="Times New Roman" w:ascii="Cambria" w:hAnsi="Cambria"/>
          <w:b/>
          <w:outline/>
          <w:color w:val="4472C4"/>
          <w:sz w:val="36"/>
          <w:szCs w:val="36"/>
          <w:highlight w:val="yellow"/>
          <w:lang w:val="ru-RU"/>
        </w:rPr>
        <w:t xml:space="preserve"> </w:t>
      </w:r>
      <w:r>
        <w:rPr>
          <w:rFonts w:cs="Maiandra GD" w:ascii="Cambria" w:hAnsi="Cambria"/>
          <w:b/>
          <w:outline/>
          <w:color w:val="4472C4"/>
          <w:sz w:val="36"/>
          <w:szCs w:val="36"/>
          <w:highlight w:val="yellow"/>
          <w:lang w:val="ru-RU"/>
        </w:rPr>
        <w:t>–</w:t>
      </w:r>
      <w:r>
        <w:rPr>
          <w:rFonts w:cs="Times New Roman" w:ascii="Cambria" w:hAnsi="Cambria"/>
          <w:b/>
          <w:outline/>
          <w:color w:val="4472C4"/>
          <w:sz w:val="36"/>
          <w:szCs w:val="36"/>
          <w:highlight w:val="yellow"/>
          <w:lang w:val="ru-RU"/>
        </w:rPr>
        <w:t xml:space="preserve"> 20</w:t>
      </w:r>
      <w:r>
        <w:rPr>
          <w:rFonts w:cs="Times New Roman" w:ascii="Cambria" w:hAnsi="Cambria"/>
          <w:b/>
          <w:outline/>
          <w:color w:val="4472C4"/>
          <w:sz w:val="36"/>
          <w:szCs w:val="36"/>
          <w:highlight w:val="yellow"/>
          <w:lang w:val="en-US"/>
        </w:rPr>
        <w:t>21</w:t>
      </w:r>
    </w:p>
    <w:p>
      <w:pPr>
        <w:pStyle w:val="Normal"/>
        <w:jc w:val="center"/>
        <w:rPr/>
      </w:pPr>
      <w:r>
        <w:rPr>
          <w:rFonts w:cs="Times New Roman" w:ascii="Cambria" w:hAnsi="Cambria"/>
          <w:b/>
          <w:sz w:val="48"/>
          <w:szCs w:val="48"/>
        </w:rPr>
        <w:t>Hotel Grand Wasington Istanbul</w:t>
      </w:r>
      <w:r>
        <w:rPr>
          <w:rFonts w:cs="Segoe UI Symbol" w:ascii="Segoe UI Symbol" w:hAnsi="Segoe UI Symbol"/>
          <w:b/>
          <w:color w:val="FFC000"/>
          <w:sz w:val="48"/>
          <w:szCs w:val="48"/>
          <w:lang w:val="en-GB"/>
        </w:rPr>
        <w:t xml:space="preserve"> 4</w:t>
      </w:r>
      <w:r>
        <w:rPr>
          <w:rFonts w:cs="Times New Roman" w:ascii="Cambria" w:hAnsi="Cambria"/>
          <w:b/>
          <w:sz w:val="48"/>
          <w:szCs w:val="48"/>
          <w:lang w:val="en-GB"/>
        </w:rPr>
        <w:t>*</w:t>
      </w:r>
    </w:p>
    <w:p>
      <w:pPr>
        <w:pStyle w:val="Normal"/>
        <w:jc w:val="center"/>
        <w:rPr>
          <w:lang w:val="bg-BG"/>
        </w:rPr>
      </w:pPr>
      <w:r>
        <w:rPr>
          <w:rFonts w:cs="Times New Roman" w:ascii="Cambria" w:hAnsi="Cambria"/>
          <w:b/>
          <w:sz w:val="48"/>
          <w:szCs w:val="48"/>
          <w:lang w:val="bg-BG"/>
        </w:rPr>
        <w:t>с включена Новогодишна вечеря</w:t>
      </w:r>
    </w:p>
    <w:p>
      <w:pPr>
        <w:pStyle w:val="Normal"/>
        <w:jc w:val="center"/>
        <w:rPr>
          <w:b/>
          <w:b/>
          <w:sz w:val="32"/>
          <w:szCs w:val="32"/>
          <w:u w:val="none"/>
        </w:rPr>
      </w:pPr>
      <w:r>
        <w:rPr>
          <w:rStyle w:val="InternetLink"/>
          <w:b/>
          <w:sz w:val="32"/>
          <w:szCs w:val="32"/>
          <w:u w:val="none"/>
        </w:rPr>
        <w:t>http://www.grand-washington.com/</w:t>
      </w:r>
    </w:p>
    <w:p>
      <w:pPr>
        <w:pStyle w:val="Normal"/>
        <w:jc w:val="center"/>
        <w:rPr>
          <w:rStyle w:val="InternetLink"/>
          <w:b/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</w:r>
    </w:p>
    <w:p>
      <w:pPr>
        <w:pStyle w:val="Normal"/>
        <w:jc w:val="center"/>
        <w:rPr>
          <w:b/>
          <w:b/>
          <w:sz w:val="32"/>
          <w:szCs w:val="32"/>
          <w:u w:val="none"/>
        </w:rPr>
      </w:pPr>
      <w:r>
        <w:rPr>
          <w:rStyle w:val="InternetLink"/>
          <w:b/>
          <w:sz w:val="32"/>
          <w:szCs w:val="32"/>
          <w:u w:val="none"/>
          <w:lang w:val="bg-BG"/>
        </w:rPr>
        <w:t>Собствен   транспорт</w:t>
      </w:r>
    </w:p>
    <w:p>
      <w:pPr>
        <w:pStyle w:val="Normal"/>
        <w:jc w:val="center"/>
        <w:rPr>
          <w:b/>
          <w:b/>
          <w:sz w:val="32"/>
          <w:szCs w:val="32"/>
          <w:u w:val="none"/>
        </w:rPr>
      </w:pPr>
      <w:r>
        <w:rPr>
          <w:rStyle w:val="InternetLink"/>
          <w:b/>
          <w:sz w:val="32"/>
          <w:szCs w:val="32"/>
          <w:u w:val="none"/>
          <w:lang w:val="bg-BG"/>
        </w:rPr>
        <w:t>3 нощувки / 4 дни</w:t>
      </w:r>
    </w:p>
    <w:p>
      <w:pPr>
        <w:pStyle w:val="Normal"/>
        <w:jc w:val="center"/>
        <w:rPr>
          <w:b/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</w:r>
    </w:p>
    <w:p>
      <w:pPr>
        <w:pStyle w:val="Normal"/>
        <w:jc w:val="center"/>
        <w:rPr>
          <w:b/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  <w:lang w:val="bg-BG"/>
        </w:rPr>
        <w:t>Дати: 29.12.20, 30.12.20, 31.12.20</w:t>
      </w:r>
    </w:p>
    <w:p>
      <w:pPr>
        <w:pStyle w:val="Normal"/>
        <w:jc w:val="center"/>
        <w:rPr>
          <w:b/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  <w:lang w:val="bg-BG"/>
        </w:rPr>
        <w:t>Цена : 2</w:t>
      </w:r>
      <w:r>
        <w:rPr>
          <w:b/>
          <w:sz w:val="32"/>
          <w:szCs w:val="32"/>
          <w:u w:val="none"/>
          <w:lang w:val="en-US"/>
        </w:rPr>
        <w:t>10</w:t>
      </w:r>
      <w:r>
        <w:rPr>
          <w:b/>
          <w:sz w:val="32"/>
          <w:szCs w:val="32"/>
          <w:u w:val="none"/>
          <w:lang w:val="bg-BG"/>
        </w:rPr>
        <w:t xml:space="preserve"> евро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b/>
          <w:bCs/>
          <w:sz w:val="28"/>
          <w:szCs w:val="28"/>
          <w:lang w:val="bg-BG"/>
        </w:rPr>
        <w:t>1 ден - 30.12.20</w:t>
      </w:r>
      <w:r>
        <w:rPr>
          <w:rFonts w:cs="Times New Roman"/>
          <w:sz w:val="28"/>
          <w:szCs w:val="28"/>
          <w:lang w:val="bg-BG"/>
        </w:rPr>
        <w:t xml:space="preserve"> 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Пристигане в Истанбул. Настаняване в хотелa.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Свободно време или по желание включване в допълнителни мероприятия.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По желание, срещу допълнително заплащане: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-</w:t>
        <w:tab/>
        <w:t>19:30 Вечеря с шоу програма на кораб по Босфора - 40 евро на човек.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-</w:t>
        <w:tab/>
        <w:t>19:30 Вечеря в рибен ресторант на Босфора с фикс меню и 1 питие (алкохолно или безалкохолно) - 27 евро на човек.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b/>
          <w:bCs/>
          <w:sz w:val="28"/>
          <w:szCs w:val="28"/>
          <w:lang w:val="bg-BG"/>
        </w:rPr>
        <w:t>2 ден – 31.12.20</w:t>
      </w:r>
      <w:r>
        <w:rPr>
          <w:rFonts w:cs="Times New Roman"/>
          <w:sz w:val="28"/>
          <w:szCs w:val="28"/>
          <w:lang w:val="bg-BG"/>
        </w:rPr>
        <w:t xml:space="preserve"> 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Закуска в ресторанта на хотела.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Панорамна обиколка на Истанбул с местен автобус и лицензиран екскурзовод на български език по желание срещу допълнително заплащане.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Посещение на Кожен Аутлет център с възможност за покупка на кожени изделия -новогодишни подаръци на изгодни цени.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b/>
          <w:bCs/>
          <w:sz w:val="28"/>
          <w:szCs w:val="28"/>
          <w:lang w:val="bg-BG"/>
        </w:rPr>
        <w:t>20:00 ч. Новогодишна Гала вечеря и шоу програма в ресторанта на хотела  с богато новогодишно меню, местни алкохолни и безалкохолни напитки без ограничение и шоу програма.</w:t>
      </w:r>
      <w:r>
        <w:rPr>
          <w:rFonts w:cs="Times New Roman"/>
          <w:sz w:val="28"/>
          <w:szCs w:val="28"/>
          <w:lang w:val="bg-BG"/>
        </w:rPr>
        <w:tab/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*</w:t>
        <w:tab/>
        <w:t>DJ парти (разнообразие от българска, гръцка и интернационална музика)</w:t>
        <w:tab/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*</w:t>
        <w:tab/>
        <w:t>Новогодишна Томбола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b/>
          <w:bCs/>
          <w:sz w:val="28"/>
          <w:szCs w:val="28"/>
          <w:lang w:val="bg-BG"/>
        </w:rPr>
        <w:t xml:space="preserve">3 ден – 01.01.21 </w:t>
      </w:r>
      <w:r>
        <w:rPr>
          <w:rFonts w:cs="Times New Roman"/>
          <w:sz w:val="28"/>
          <w:szCs w:val="28"/>
          <w:lang w:val="bg-BG"/>
        </w:rPr>
        <w:tab/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Късна закуска в ресторанта на хотела.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 xml:space="preserve">По желание, срещу допълнително заплащане: 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 xml:space="preserve">-         11:00ч Разходка с корабче по Босфора - 18 евро на човек 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-</w:t>
        <w:tab/>
        <w:t>19:30 Вечеря с шоу програма на кораб по Босфора - 40 евро на човек.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-</w:t>
        <w:tab/>
        <w:t>19:30 Вечеря в рибен ресторант на Босфора с фикс меню и 1 питие (алкохолно или безалкохолно) - 27 евро на човек.</w:t>
      </w:r>
    </w:p>
    <w:p>
      <w:pPr>
        <w:pStyle w:val="Normal"/>
        <w:rPr>
          <w:rFonts w:ascii="Calibri" w:hAnsi="Calibri" w:cs="Times New Roman"/>
          <w:b/>
          <w:b/>
          <w:bCs/>
          <w:sz w:val="28"/>
          <w:szCs w:val="28"/>
          <w:lang w:val="bg-BG"/>
        </w:rPr>
      </w:pPr>
      <w:r>
        <w:rPr>
          <w:rFonts w:cs="Times New Roman"/>
          <w:b/>
          <w:bCs/>
          <w:sz w:val="28"/>
          <w:szCs w:val="28"/>
          <w:lang w:val="bg-BG"/>
        </w:rPr>
      </w:r>
    </w:p>
    <w:p>
      <w:pPr>
        <w:pStyle w:val="Normal"/>
        <w:rPr>
          <w:rFonts w:ascii="Calibri" w:hAnsi="Calibri" w:cs="Times New Roman"/>
          <w:b/>
          <w:b/>
          <w:bCs/>
          <w:sz w:val="28"/>
          <w:szCs w:val="28"/>
          <w:lang w:val="bg-BG"/>
        </w:rPr>
      </w:pPr>
      <w:r>
        <w:rPr>
          <w:rFonts w:cs="Times New Roman"/>
          <w:b/>
          <w:bCs/>
          <w:sz w:val="28"/>
          <w:szCs w:val="28"/>
          <w:lang w:val="bg-BG"/>
        </w:rPr>
        <w:t xml:space="preserve">4 ден - 02.01.21 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Закуска в хотела.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По желание участие в допълнителни мероприятия: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09:30 ч. Мол Форм Истанбул &amp; Аквариум(Срещу допълнително заплащане). Свободно време и по желание посещение на фабрика за производство на турски локум. Отпътуване за България.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</w:r>
    </w:p>
    <w:tbl>
      <w:tblPr>
        <w:tblW w:w="9930" w:type="dxa"/>
        <w:jc w:val="left"/>
        <w:tblInd w:w="99" w:type="dxa"/>
        <w:tblCellMar>
          <w:top w:w="28" w:type="dxa"/>
          <w:left w:w="88" w:type="dxa"/>
          <w:bottom w:w="28" w:type="dxa"/>
          <w:right w:w="108" w:type="dxa"/>
        </w:tblCellMar>
      </w:tblPr>
      <w:tblGrid>
        <w:gridCol w:w="2484"/>
        <w:gridCol w:w="2466"/>
        <w:gridCol w:w="2479"/>
        <w:gridCol w:w="2500"/>
      </w:tblGrid>
      <w:tr>
        <w:trPr/>
        <w:tc>
          <w:tcPr>
            <w:tcW w:w="24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TableContents"/>
              <w:spacing w:before="0" w:after="283"/>
              <w:rPr>
                <w:b/>
                <w:b/>
                <w:bCs/>
                <w:sz w:val="30"/>
                <w:szCs w:val="30"/>
                <w:lang w:val="bg-BG"/>
              </w:rPr>
            </w:pPr>
            <w:r>
              <w:rPr>
                <w:b/>
                <w:bCs/>
                <w:sz w:val="30"/>
                <w:szCs w:val="30"/>
                <w:lang w:val="bg-BG"/>
              </w:rPr>
              <w:t>Цени</w:t>
            </w:r>
          </w:p>
        </w:tc>
        <w:tc>
          <w:tcPr>
            <w:tcW w:w="2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TableContents"/>
              <w:spacing w:before="0" w:after="283"/>
              <w:jc w:val="center"/>
              <w:rPr>
                <w:rFonts w:ascii="Maiandra GD;sans-serif" w:hAnsi="Maiandra GD;sans-serif"/>
                <w:b/>
                <w:b/>
                <w:sz w:val="28"/>
              </w:rPr>
            </w:pPr>
            <w:r>
              <w:rPr>
                <w:rFonts w:ascii="Maiandra GD;sans-serif" w:hAnsi="Maiandra GD;sans-serif"/>
                <w:b/>
                <w:sz w:val="28"/>
                <w:lang w:val="bg-BG"/>
              </w:rPr>
              <w:t>На човек в двойна стая</w:t>
            </w:r>
          </w:p>
        </w:tc>
        <w:tc>
          <w:tcPr>
            <w:tcW w:w="2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TableContents"/>
              <w:spacing w:before="0" w:after="283"/>
              <w:jc w:val="center"/>
              <w:rPr>
                <w:rFonts w:ascii="Maiandra GD;sans-serif" w:hAnsi="Maiandra GD;sans-serif"/>
                <w:b/>
                <w:b/>
                <w:sz w:val="28"/>
              </w:rPr>
            </w:pPr>
            <w:r>
              <w:rPr>
                <w:rFonts w:ascii="Maiandra GD;sans-serif" w:hAnsi="Maiandra GD;sans-serif"/>
                <w:b/>
                <w:sz w:val="28"/>
                <w:lang w:val="bg-BG"/>
              </w:rPr>
              <w:t>Единична стая</w:t>
            </w:r>
            <w:r>
              <w:rPr>
                <w:rFonts w:ascii="Maiandra GD;sans-serif" w:hAnsi="Maiandra GD;sans-serif"/>
                <w:b/>
                <w:sz w:val="28"/>
              </w:rPr>
              <w:t xml:space="preserve"> </w:t>
            </w:r>
          </w:p>
        </w:tc>
        <w:tc>
          <w:tcPr>
            <w:tcW w:w="2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TableContents"/>
              <w:spacing w:before="0" w:after="283"/>
              <w:jc w:val="center"/>
              <w:rPr>
                <w:rFonts w:ascii="Maiandra GD;sans-serif" w:hAnsi="Maiandra GD;sans-serif"/>
                <w:b/>
                <w:b/>
                <w:sz w:val="28"/>
              </w:rPr>
            </w:pPr>
            <w:r>
              <w:rPr>
                <w:rFonts w:ascii="Maiandra GD;sans-serif" w:hAnsi="Maiandra GD;sans-serif"/>
                <w:b/>
                <w:sz w:val="28"/>
                <w:lang w:val="bg-BG"/>
              </w:rPr>
              <w:t>Трети човек в тройна стая</w:t>
            </w:r>
          </w:p>
        </w:tc>
      </w:tr>
      <w:tr>
        <w:trPr/>
        <w:tc>
          <w:tcPr>
            <w:tcW w:w="24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tcMar>
              <w:top w:w="0" w:type="dxa"/>
            </w:tcMar>
          </w:tcPr>
          <w:p>
            <w:pPr>
              <w:pStyle w:val="TableContents"/>
              <w:spacing w:before="0" w:after="283"/>
              <w:rPr>
                <w:rFonts w:ascii="Cambria;serif" w:hAnsi="Cambria;serif"/>
                <w:b/>
                <w:b/>
                <w:sz w:val="28"/>
              </w:rPr>
            </w:pPr>
            <w:r>
              <w:rPr>
                <w:rFonts w:ascii="Cambria;serif" w:hAnsi="Cambria;serif"/>
                <w:b/>
                <w:sz w:val="28"/>
              </w:rPr>
            </w:r>
          </w:p>
        </w:tc>
        <w:tc>
          <w:tcPr>
            <w:tcW w:w="2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€ 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21</w:t>
            </w:r>
            <w:r>
              <w:rPr>
                <w:rFonts w:ascii="Maiandra GD;sans-serif" w:hAnsi="Maiandra GD;sans-serif"/>
                <w:b/>
                <w:sz w:val="28"/>
                <w:lang w:val="en-US"/>
              </w:rPr>
              <w:t>0</w:t>
            </w:r>
          </w:p>
        </w:tc>
        <w:tc>
          <w:tcPr>
            <w:tcW w:w="2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€ 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 xml:space="preserve"> 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280</w:t>
            </w:r>
          </w:p>
        </w:tc>
        <w:tc>
          <w:tcPr>
            <w:tcW w:w="2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€ 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20</w:t>
            </w:r>
            <w:r>
              <w:rPr>
                <w:rFonts w:ascii="Maiandra GD;sans-serif" w:hAnsi="Maiandra GD;sans-serif"/>
                <w:b/>
                <w:sz w:val="28"/>
                <w:lang w:val="en-US"/>
              </w:rPr>
              <w:t>0</w:t>
            </w:r>
          </w:p>
        </w:tc>
      </w:tr>
    </w:tbl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</w:r>
    </w:p>
    <w:p>
      <w:pPr>
        <w:pStyle w:val="Normal"/>
        <w:jc w:val="center"/>
        <w:rPr>
          <w:rFonts w:ascii="Cambria" w:hAnsi="Cambria" w:cs="Times New Roman"/>
          <w:color w:val="000000"/>
          <w:sz w:val="32"/>
          <w:szCs w:val="32"/>
        </w:rPr>
      </w:pPr>
      <w:r>
        <w:rPr>
          <w:rFonts w:cs="Times New Roman" w:ascii="Cambria" w:hAnsi="Cambria"/>
          <w:color w:val="000000"/>
          <w:sz w:val="32"/>
          <w:szCs w:val="32"/>
        </w:rPr>
        <w:t xml:space="preserve">Деца: (0-6) години – БЕЗПЛАТНО, (7-12) години - </w:t>
      </w:r>
      <w:r>
        <w:rPr>
          <w:rFonts w:cs="Times New Roman" w:ascii="Cambria" w:hAnsi="Cambria"/>
          <w:color w:val="000000"/>
          <w:sz w:val="32"/>
          <w:szCs w:val="32"/>
          <w:lang w:val="bg-BG"/>
        </w:rPr>
        <w:t>110</w:t>
      </w:r>
      <w:r>
        <w:rPr>
          <w:rFonts w:cs="Times New Roman" w:ascii="Cambria" w:hAnsi="Cambria"/>
          <w:color w:val="000000"/>
          <w:sz w:val="32"/>
          <w:szCs w:val="32"/>
        </w:rPr>
        <w:t xml:space="preserve"> евро  </w:t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bg-BG"/>
        </w:rPr>
        <w:t>/ настанени на допълнително легло /</w:t>
      </w:r>
    </w:p>
    <w:p>
      <w:pPr>
        <w:pStyle w:val="Normal"/>
        <w:jc w:val="center"/>
        <w:rPr>
          <w:rFonts w:ascii="Cambria" w:hAnsi="Cambria"/>
          <w:b/>
          <w:b/>
          <w:color w:val="4472C4"/>
          <w:sz w:val="26"/>
          <w:szCs w:val="26"/>
          <w:lang w:val="ru-RU"/>
        </w:rPr>
      </w:pPr>
      <w:r>
        <w:rPr>
          <w:rFonts w:ascii="Cambria" w:hAnsi="Cambria"/>
          <w:b/>
          <w:color w:val="4472C4"/>
          <w:sz w:val="26"/>
          <w:szCs w:val="26"/>
          <w:lang w:val="ru-RU"/>
        </w:rPr>
      </w:r>
    </w:p>
    <w:p>
      <w:pPr>
        <w:pStyle w:val="Normal"/>
        <w:rPr/>
      </w:pPr>
      <w:r>
        <w:rPr>
          <w:rFonts w:ascii="Cambria" w:hAnsi="Cambria"/>
          <w:b/>
          <w:color w:val="4472C4"/>
          <w:sz w:val="28"/>
          <w:szCs w:val="28"/>
          <w:lang w:val="ru-RU"/>
        </w:rPr>
        <w:t>Цената</w:t>
      </w:r>
      <w:r>
        <w:rPr>
          <w:rFonts w:cs="Times New Roman" w:ascii="Cambria" w:hAnsi="Cambria"/>
          <w:b/>
          <w:color w:val="4472C4"/>
          <w:sz w:val="28"/>
          <w:szCs w:val="28"/>
          <w:lang w:val="ru-RU"/>
        </w:rPr>
        <w:t xml:space="preserve"> </w:t>
      </w:r>
      <w:r>
        <w:rPr>
          <w:rFonts w:ascii="Cambria" w:hAnsi="Cambria"/>
          <w:b/>
          <w:color w:val="4472C4"/>
          <w:sz w:val="28"/>
          <w:szCs w:val="28"/>
          <w:lang w:val="ru-RU"/>
        </w:rPr>
        <w:t>включва</w:t>
      </w:r>
      <w:r>
        <w:rPr>
          <w:rFonts w:cs="Times New Roman" w:ascii="Cambria" w:hAnsi="Cambria"/>
          <w:b/>
          <w:color w:val="4472C4"/>
          <w:sz w:val="28"/>
          <w:szCs w:val="28"/>
          <w:lang w:val="ru-RU"/>
        </w:rPr>
        <w:t>:</w:t>
      </w:r>
    </w:p>
    <w:p>
      <w:pPr>
        <w:pStyle w:val="Normal"/>
        <w:jc w:val="both"/>
        <w:rPr/>
      </w:pPr>
      <w:r>
        <w:rPr>
          <w:rFonts w:ascii="Cambria" w:hAnsi="Cambria"/>
          <w:sz w:val="28"/>
          <w:szCs w:val="28"/>
          <w:lang w:val="tr-TR"/>
        </w:rPr>
        <w:t>*** 3 нощувки с 3 закуски в хотела;</w:t>
      </w:r>
    </w:p>
    <w:p>
      <w:pPr>
        <w:pStyle w:val="Normal"/>
        <w:jc w:val="both"/>
        <w:rPr/>
      </w:pPr>
      <w:r>
        <w:rPr>
          <w:rFonts w:ascii="Cambria" w:hAnsi="Cambria"/>
          <w:sz w:val="28"/>
          <w:szCs w:val="28"/>
          <w:lang w:val="tr-TR"/>
        </w:rPr>
        <w:t xml:space="preserve">*** Празнична Новогодишна вечеря в </w:t>
      </w:r>
      <w:r>
        <w:rPr>
          <w:rFonts w:ascii="Cambria" w:hAnsi="Cambria"/>
          <w:sz w:val="28"/>
          <w:szCs w:val="28"/>
          <w:lang w:val="bg-BG"/>
        </w:rPr>
        <w:t>ресторанта на хотела</w:t>
      </w:r>
      <w:r>
        <w:rPr>
          <w:rFonts w:ascii="Cambria" w:hAnsi="Cambria"/>
          <w:sz w:val="28"/>
          <w:szCs w:val="28"/>
          <w:lang w:val="tr-TR"/>
        </w:rPr>
        <w:t>, богато меню, местни алкохолни и безалкохолни напитки без ограничение;</w:t>
      </w:r>
    </w:p>
    <w:p>
      <w:pPr>
        <w:pStyle w:val="Normal"/>
        <w:jc w:val="both"/>
        <w:rPr/>
      </w:pPr>
      <w:r>
        <w:rPr>
          <w:rFonts w:ascii="Cambria" w:hAnsi="Cambria"/>
          <w:sz w:val="28"/>
          <w:szCs w:val="28"/>
          <w:lang w:val="tr-TR"/>
        </w:rPr>
        <w:t>*** Забавна новогодишна програма , DJ , програма,  новогодишна томбола с приятни изненади;</w:t>
      </w:r>
    </w:p>
    <w:p>
      <w:pPr>
        <w:pStyle w:val="Normal"/>
        <w:jc w:val="both"/>
        <w:rPr/>
      </w:pPr>
      <w:r>
        <w:rPr>
          <w:rFonts w:ascii="Cambria" w:hAnsi="Cambria"/>
          <w:sz w:val="28"/>
          <w:szCs w:val="28"/>
          <w:lang w:val="tr-TR"/>
        </w:rPr>
        <w:t>*** СПА център (закрит басейн,хамам,сауна,парна баня, фитнес,WI-FI, безплат</w:t>
      </w:r>
      <w:r>
        <w:rPr>
          <w:rFonts w:ascii="Cambria" w:hAnsi="Cambria"/>
          <w:sz w:val="28"/>
          <w:szCs w:val="28"/>
          <w:lang w:val="bg-BG"/>
        </w:rPr>
        <w:t>но минерална вода</w:t>
      </w:r>
      <w:r>
        <w:rPr>
          <w:rFonts w:ascii="Cambria" w:hAnsi="Cambria"/>
          <w:sz w:val="28"/>
          <w:szCs w:val="28"/>
          <w:lang w:val="tr-TR"/>
        </w:rPr>
        <w:t>, чай и кафе ежедневнов в стаята на хотела.)</w:t>
      </w:r>
    </w:p>
    <w:p>
      <w:pPr>
        <w:pStyle w:val="Normal"/>
        <w:jc w:val="both"/>
        <w:rPr/>
      </w:pPr>
      <w:r>
        <w:rPr>
          <w:rFonts w:ascii="Cambria" w:hAnsi="Cambria"/>
          <w:sz w:val="28"/>
          <w:szCs w:val="28"/>
          <w:lang w:val="tr-TR"/>
        </w:rPr>
        <w:t>*** Безплатен паркинг за леки автомобили.</w:t>
      </w:r>
    </w:p>
    <w:p>
      <w:pPr>
        <w:pStyle w:val="Normal"/>
        <w:jc w:val="both"/>
        <w:rPr>
          <w:rFonts w:ascii="Cambria" w:hAnsi="Cambria"/>
          <w:sz w:val="26"/>
          <w:szCs w:val="26"/>
          <w:lang w:val="tr-TR"/>
        </w:rPr>
      </w:pPr>
      <w:r>
        <w:rPr>
          <w:rFonts w:ascii="Cambria" w:hAnsi="Cambria"/>
          <w:sz w:val="26"/>
          <w:szCs w:val="26"/>
          <w:lang w:val="tr-TR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8"/>
          <w:szCs w:val="28"/>
          <w:lang w:val="bg-BG"/>
        </w:rPr>
      </w:pPr>
      <w:r>
        <w:rPr>
          <w:rFonts w:ascii="Cambria" w:hAnsi="Cambria"/>
          <w:b/>
          <w:bCs/>
          <w:sz w:val="28"/>
          <w:szCs w:val="28"/>
          <w:lang w:val="bg-BG"/>
        </w:rPr>
        <w:t>Цената не включва:</w:t>
      </w:r>
    </w:p>
    <w:p>
      <w:pPr>
        <w:pStyle w:val="Normal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</w:r>
    </w:p>
    <w:p>
      <w:pPr>
        <w:pStyle w:val="TextBody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 xml:space="preserve">*** Медицинска застраховка към ЗАД „Армеец“ за 5 дни с покритие 5000 евро за лица на възраст до 70 г. – 5 лв., за лица на възраст от 70 г. до 85 г. - 12 лв.; </w:t>
      </w:r>
    </w:p>
    <w:p>
      <w:pPr>
        <w:pStyle w:val="TextBody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 xml:space="preserve">*** </w:t>
      </w:r>
      <w:r>
        <w:rPr>
          <w:rFonts w:cs="Times New Roman" w:ascii="Cambria" w:hAnsi="Cambria"/>
          <w:sz w:val="28"/>
          <w:szCs w:val="28"/>
          <w:lang w:val="bg-BG"/>
        </w:rPr>
        <w:t xml:space="preserve">Вечеря с шоу програма на кораб по Босфора </w:t>
      </w:r>
      <w:r>
        <w:rPr>
          <w:rFonts w:cs="Times New Roman" w:ascii="Cambria" w:hAnsi="Cambria"/>
          <w:sz w:val="28"/>
          <w:szCs w:val="28"/>
          <w:lang w:val="en-US"/>
        </w:rPr>
        <w:t xml:space="preserve"> </w:t>
      </w:r>
      <w:r>
        <w:rPr>
          <w:rFonts w:cs="Times New Roman" w:ascii="Cambria" w:hAnsi="Cambria"/>
          <w:sz w:val="28"/>
          <w:szCs w:val="28"/>
          <w:lang w:val="bg-BG"/>
        </w:rPr>
        <w:t>с включени  алкохолни и безалкохолни напитки - 40 евро на човек.</w:t>
      </w:r>
    </w:p>
    <w:p>
      <w:pPr>
        <w:pStyle w:val="TextBody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cs="Times New Roman" w:ascii="Cambria" w:hAnsi="Cambria"/>
          <w:sz w:val="28"/>
          <w:szCs w:val="28"/>
          <w:lang w:val="bg-BG"/>
        </w:rPr>
        <w:t>*** Вечеря в рибен ресторант на Босфора с фикс меню и 1 питие (алкохолно или безалкохолно) - 27 евро на човек.</w:t>
      </w:r>
    </w:p>
    <w:p>
      <w:pPr>
        <w:pStyle w:val="TextBody"/>
        <w:jc w:val="both"/>
        <w:rPr>
          <w:rFonts w:ascii="Cambria" w:hAnsi="Cambria"/>
          <w:sz w:val="28"/>
          <w:szCs w:val="28"/>
          <w:lang w:val="bg-BG"/>
        </w:rPr>
      </w:pPr>
      <w:r>
        <w:rPr>
          <w:sz w:val="28"/>
          <w:szCs w:val="28"/>
        </w:rPr>
        <w:t>*** Транспорт – 55</w:t>
      </w:r>
      <w:r>
        <w:rPr>
          <w:sz w:val="28"/>
          <w:szCs w:val="28"/>
          <w:lang w:val="bg-BG"/>
        </w:rPr>
        <w:t xml:space="preserve"> евро на човек 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0" w:leader="none"/>
        </w:tabs>
        <w:ind w:left="707" w:hanging="283"/>
        <w:rPr>
          <w:sz w:val="28"/>
          <w:szCs w:val="28"/>
        </w:rPr>
      </w:pPr>
      <w:r>
        <w:rPr>
          <w:sz w:val="28"/>
          <w:szCs w:val="28"/>
        </w:rPr>
        <w:t xml:space="preserve">*** Разходи от личен характер. </w:t>
      </w:r>
    </w:p>
    <w:p>
      <w:pPr>
        <w:pStyle w:val="Normal"/>
        <w:jc w:val="both"/>
        <w:rPr>
          <w:rFonts w:ascii="Cambria" w:hAnsi="Cambria"/>
          <w:sz w:val="26"/>
          <w:szCs w:val="26"/>
          <w:lang w:val="bg-BG"/>
        </w:rPr>
      </w:pPr>
      <w:r>
        <w:rPr>
          <w:rFonts w:ascii="Cambria" w:hAnsi="Cambria"/>
          <w:sz w:val="26"/>
          <w:szCs w:val="26"/>
          <w:lang w:val="bg-BG"/>
        </w:rPr>
      </w:r>
    </w:p>
    <w:p>
      <w:pPr>
        <w:pStyle w:val="Normal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</w:r>
    </w:p>
    <w:p>
      <w:pPr>
        <w:pStyle w:val="Normal"/>
        <w:jc w:val="both"/>
        <w:rPr>
          <w:rFonts w:ascii="Cambria" w:hAnsi="Cambria"/>
          <w:b/>
          <w:b/>
          <w:color w:val="FF0000"/>
          <w:sz w:val="28"/>
          <w:szCs w:val="28"/>
          <w:lang w:val="bg-BG"/>
        </w:rPr>
      </w:pPr>
      <w:r>
        <w:rPr>
          <w:rFonts w:ascii="Cambria" w:hAnsi="Cambria"/>
          <w:b/>
          <w:color w:val="FF0000"/>
          <w:sz w:val="28"/>
          <w:szCs w:val="28"/>
          <w:lang w:val="bg-BG"/>
        </w:rPr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Segoe UI Symbol">
    <w:charset w:val="cc"/>
    <w:family w:val="roman"/>
    <w:pitch w:val="variable"/>
  </w:font>
  <w:font w:name="Maiandra GD">
    <w:altName w:val="sans-serif"/>
    <w:charset w:val="cc"/>
    <w:family w:val="roman"/>
    <w:pitch w:val="variable"/>
  </w:font>
  <w:font w:name="Cambria">
    <w:altName w:val="serif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tr-T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SimSun" w:cs="Calibri"/>
      <w:color w:val="00000A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StBilgiChar">
    <w:name w:val="Üst Bilgi Char"/>
    <w:basedOn w:val="DefaultParagraphFont"/>
    <w:qFormat/>
    <w:rPr/>
  </w:style>
  <w:style w:type="character" w:styleId="AltBilgiChar">
    <w:name w:val="Alt Bilgi Cha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lineRule="auto" w:line="259" w:before="0" w:after="160"/>
      <w:ind w:left="720" w:right="0" w:hanging="0"/>
      <w:contextualSpacing/>
    </w:pPr>
    <w:rPr>
      <w:rFonts w:ascii="Calibri" w:hAnsi="Calibri" w:eastAsia="Calibri" w:cs="Tahoma"/>
      <w:lang w:val="tr-TR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Tahoma"/>
      <w:lang w:val="tr-TR"/>
    </w:rPr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Tahoma"/>
      <w:lang w:val="tr-TR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LibreOffice/6.4.0.3$Windows_X86_64 LibreOffice_project/b0a288ab3d2d4774cb44b62f04d5d28733ac6df8</Application>
  <Pages>3</Pages>
  <Words>464</Words>
  <Characters>2358</Characters>
  <CharactersWithSpaces>2805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2018-11-06T16:21:00Z</dcterms:created>
  <dc:creator>Windows Kullanıcısı</dc:creator>
  <dc:description/>
  <dc:language>bg-BG</dc:language>
  <cp:lastModifiedBy/>
  <dcterms:modified xsi:type="dcterms:W3CDTF">2020-09-23T00:09:50Z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