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b/>
          <w:b/>
        </w:rPr>
      </w:pPr>
      <w:r>
        <w:rPr>
          <w:rFonts w:ascii="Verdana" w:hAnsi="Verdana"/>
          <w:b/>
        </w:rPr>
        <w:drawing>
          <wp:anchor behindDoc="0" distT="0" distB="0" distL="0" distR="0" simplePos="0" locked="0" layoutInCell="1" allowOverlap="1" relativeHeight="2">
            <wp:simplePos x="0" y="0"/>
            <wp:positionH relativeFrom="column">
              <wp:posOffset>0</wp:posOffset>
            </wp:positionH>
            <wp:positionV relativeFrom="paragraph">
              <wp:posOffset>-603250</wp:posOffset>
            </wp:positionV>
            <wp:extent cx="5760720" cy="9417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760720" cy="941705"/>
                    </a:xfrm>
                    <a:prstGeom prst="rect">
                      <a:avLst/>
                    </a:prstGeom>
                  </pic:spPr>
                </pic:pic>
              </a:graphicData>
            </a:graphic>
          </wp:anchor>
        </w:drawing>
      </w:r>
    </w:p>
    <w:p>
      <w:pPr>
        <w:pStyle w:val="Normal"/>
        <w:jc w:val="center"/>
        <w:rPr>
          <w:rFonts w:ascii="Times New Roman" w:hAnsi="Times New Roman"/>
          <w:sz w:val="26"/>
          <w:szCs w:val="26"/>
        </w:rPr>
      </w:pPr>
      <w:r>
        <w:rPr>
          <w:rFonts w:ascii="Times New Roman" w:hAnsi="Times New Roman"/>
          <w:b/>
          <w:sz w:val="24"/>
          <w:szCs w:val="24"/>
        </w:rPr>
        <w:t xml:space="preserve">Париж през Баварските замъци </w:t>
      </w:r>
    </w:p>
    <w:p>
      <w:pPr>
        <w:pStyle w:val="Normal"/>
        <w:jc w:val="center"/>
        <w:rPr>
          <w:rFonts w:ascii="Times New Roman" w:hAnsi="Times New Roman"/>
          <w:sz w:val="26"/>
          <w:szCs w:val="26"/>
        </w:rPr>
      </w:pPr>
      <w:r>
        <w:rPr>
          <w:rFonts w:ascii="Times New Roman" w:hAnsi="Times New Roman"/>
          <w:b/>
          <w:sz w:val="24"/>
          <w:szCs w:val="24"/>
        </w:rPr>
        <w:t>с екскурзия до замъците по Лоара – автобус и самолет</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color w:val="000000"/>
          <w:sz w:val="26"/>
          <w:szCs w:val="26"/>
        </w:rPr>
      </w:pPr>
      <w:r>
        <w:rPr>
          <w:rFonts w:ascii="Times New Roman" w:hAnsi="Times New Roman"/>
          <w:b/>
          <w:bCs/>
          <w:color w:val="000000"/>
          <w:sz w:val="24"/>
          <w:szCs w:val="24"/>
        </w:rPr>
        <w:t>Цена: 637 евро/ 1246 лв.</w:t>
      </w:r>
    </w:p>
    <w:p>
      <w:pPr>
        <w:pStyle w:val="Normal"/>
        <w:rPr>
          <w:rFonts w:ascii="Times New Roman" w:hAnsi="Times New Roman"/>
          <w:b/>
          <w:b/>
          <w:bCs/>
          <w:color w:val="000000"/>
          <w:sz w:val="26"/>
          <w:szCs w:val="26"/>
        </w:rPr>
      </w:pPr>
      <w:r>
        <w:rPr>
          <w:rFonts w:ascii="Times New Roman" w:hAnsi="Times New Roman"/>
          <w:b/>
          <w:bCs/>
          <w:color w:val="000000"/>
          <w:sz w:val="24"/>
          <w:szCs w:val="24"/>
        </w:rPr>
        <w:t>Дати: 03.07.18/</w:t>
      </w:r>
      <w:r>
        <w:rPr>
          <w:rFonts w:ascii="Times New Roman" w:hAnsi="Times New Roman"/>
          <w:b/>
          <w:bCs/>
          <w:color w:val="000000"/>
          <w:sz w:val="24"/>
          <w:szCs w:val="24"/>
          <w:lang w:val="en-US"/>
        </w:rPr>
        <w:t xml:space="preserve"> </w:t>
      </w:r>
      <w:r>
        <w:rPr>
          <w:rFonts w:ascii="Times New Roman" w:hAnsi="Times New Roman"/>
          <w:b/>
          <w:bCs/>
          <w:color w:val="000000"/>
          <w:sz w:val="24"/>
          <w:szCs w:val="24"/>
        </w:rPr>
        <w:t xml:space="preserve"> 18.09.18</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cs="Times New Roman"/>
          <w:color w:val="000000"/>
          <w:sz w:val="24"/>
          <w:szCs w:val="24"/>
        </w:rPr>
      </w:pPr>
      <w:r>
        <w:rPr>
          <w:rFonts w:cs="Times New Roman" w:ascii="Times New Roman" w:hAnsi="Times New Roman"/>
          <w:b/>
          <w:bCs/>
          <w:color w:val="000000"/>
          <w:sz w:val="24"/>
          <w:szCs w:val="24"/>
        </w:rPr>
        <w:t>Цената включва:</w:t>
      </w:r>
    </w:p>
    <w:p>
      <w:pPr>
        <w:pStyle w:val="Style18"/>
        <w:numPr>
          <w:ilvl w:val="0"/>
          <w:numId w:val="2"/>
        </w:numPr>
        <w:tabs>
          <w:tab w:val="left" w:pos="1440" w:leader="none"/>
        </w:tabs>
        <w:jc w:val="both"/>
        <w:rPr/>
      </w:pPr>
      <w:r>
        <w:rPr>
          <w:rStyle w:val="1"/>
          <w:color w:val="000000"/>
          <w:sz w:val="24"/>
          <w:szCs w:val="24"/>
        </w:rPr>
        <w:t>7</w:t>
      </w:r>
      <w:r>
        <w:rPr>
          <w:color w:val="000000"/>
          <w:sz w:val="24"/>
          <w:szCs w:val="24"/>
        </w:rPr>
        <w:t xml:space="preserve"> нощувки в хотел</w:t>
      </w:r>
      <w:r>
        <w:rPr>
          <w:rStyle w:val="1"/>
          <w:color w:val="000000"/>
          <w:sz w:val="24"/>
          <w:szCs w:val="24"/>
        </w:rPr>
        <w:t>и</w:t>
      </w:r>
      <w:r>
        <w:rPr>
          <w:color w:val="000000"/>
          <w:sz w:val="24"/>
          <w:szCs w:val="24"/>
        </w:rPr>
        <w:t xml:space="preserve"> 3*: </w:t>
      </w:r>
      <w:r>
        <w:rPr>
          <w:rStyle w:val="1"/>
          <w:color w:val="000000"/>
          <w:sz w:val="24"/>
          <w:szCs w:val="24"/>
        </w:rPr>
        <w:t xml:space="preserve"> 1 в района на Любляна, 1 в района на Аугсбург, 1 в Страсбург, 4 в района на Париж</w:t>
      </w:r>
    </w:p>
    <w:p>
      <w:pPr>
        <w:pStyle w:val="Style18"/>
        <w:numPr>
          <w:ilvl w:val="0"/>
          <w:numId w:val="2"/>
        </w:numPr>
        <w:tabs>
          <w:tab w:val="left" w:pos="1440" w:leader="none"/>
        </w:tabs>
        <w:jc w:val="both"/>
        <w:rPr/>
      </w:pPr>
      <w:r>
        <w:rPr>
          <w:rStyle w:val="1"/>
          <w:color w:val="000000"/>
          <w:sz w:val="24"/>
          <w:szCs w:val="24"/>
        </w:rPr>
        <w:t>7 закуски  в ресторантите на хотелите;</w:t>
      </w:r>
    </w:p>
    <w:p>
      <w:pPr>
        <w:pStyle w:val="Style18"/>
        <w:numPr>
          <w:ilvl w:val="0"/>
          <w:numId w:val="2"/>
        </w:numPr>
        <w:tabs>
          <w:tab w:val="left" w:pos="1440" w:leader="none"/>
        </w:tabs>
        <w:jc w:val="both"/>
        <w:rPr/>
      </w:pPr>
      <w:r>
        <w:rPr>
          <w:rStyle w:val="1"/>
          <w:color w:val="000000"/>
          <w:sz w:val="24"/>
          <w:szCs w:val="24"/>
        </w:rPr>
        <w:t>Туристическа програма в следните градове: Любляна, Страсбург, Париж;</w:t>
      </w:r>
    </w:p>
    <w:p>
      <w:pPr>
        <w:pStyle w:val="Style18"/>
        <w:numPr>
          <w:ilvl w:val="0"/>
          <w:numId w:val="2"/>
        </w:numPr>
        <w:tabs>
          <w:tab w:val="left" w:pos="1440" w:leader="none"/>
        </w:tabs>
        <w:jc w:val="both"/>
        <w:rPr/>
      </w:pPr>
      <w:r>
        <w:rPr>
          <w:rStyle w:val="1"/>
          <w:color w:val="000000"/>
          <w:sz w:val="24"/>
          <w:szCs w:val="24"/>
        </w:rPr>
        <w:t>Трансфер хотел-летище;</w:t>
      </w:r>
    </w:p>
    <w:p>
      <w:pPr>
        <w:pStyle w:val="Style18"/>
        <w:numPr>
          <w:ilvl w:val="0"/>
          <w:numId w:val="2"/>
        </w:numPr>
        <w:tabs>
          <w:tab w:val="left" w:pos="1440" w:leader="none"/>
        </w:tabs>
        <w:jc w:val="both"/>
        <w:rPr/>
      </w:pPr>
      <w:r>
        <w:rPr>
          <w:rStyle w:val="1"/>
          <w:color w:val="000000"/>
          <w:sz w:val="24"/>
          <w:szCs w:val="24"/>
        </w:rPr>
        <w:t>Самолетен билет Париж – София с включени летищни такси и багаж до 20 кг.</w:t>
      </w:r>
    </w:p>
    <w:p>
      <w:pPr>
        <w:pStyle w:val="Style18"/>
        <w:numPr>
          <w:ilvl w:val="0"/>
          <w:numId w:val="2"/>
        </w:numPr>
        <w:tabs>
          <w:tab w:val="left" w:pos="1440" w:leader="none"/>
        </w:tabs>
        <w:jc w:val="both"/>
        <w:rPr>
          <w:color w:val="000000"/>
          <w:sz w:val="24"/>
          <w:szCs w:val="24"/>
        </w:rPr>
      </w:pPr>
      <w:r>
        <w:rPr>
          <w:color w:val="000000"/>
          <w:sz w:val="24"/>
          <w:szCs w:val="24"/>
        </w:rPr>
        <w:t>Транспорт с комфортен автобус;</w:t>
      </w:r>
    </w:p>
    <w:p>
      <w:pPr>
        <w:pStyle w:val="Style18"/>
        <w:numPr>
          <w:ilvl w:val="0"/>
          <w:numId w:val="2"/>
        </w:numPr>
        <w:tabs>
          <w:tab w:val="left" w:pos="1440" w:leader="none"/>
        </w:tabs>
        <w:jc w:val="both"/>
        <w:rPr>
          <w:b/>
          <w:b/>
          <w:bCs/>
          <w:color w:val="FF0000"/>
        </w:rPr>
      </w:pPr>
      <w:r>
        <w:rPr>
          <w:color w:val="000000"/>
          <w:sz w:val="24"/>
          <w:szCs w:val="24"/>
        </w:rPr>
        <w:t>Екскурзоводско обслужване</w:t>
      </w:r>
      <w:r>
        <w:rPr>
          <w:rStyle w:val="1"/>
          <w:color w:val="000000"/>
          <w:sz w:val="24"/>
          <w:szCs w:val="24"/>
        </w:rPr>
        <w:t>.</w:t>
      </w:r>
    </w:p>
    <w:p>
      <w:pPr>
        <w:pStyle w:val="Style18"/>
        <w:tabs>
          <w:tab w:val="left" w:pos="1440" w:leader="none"/>
        </w:tabs>
        <w:jc w:val="both"/>
        <w:rPr>
          <w:rStyle w:val="1"/>
          <w:sz w:val="24"/>
          <w:szCs w:val="24"/>
        </w:rPr>
      </w:pPr>
      <w:r>
        <w:rPr>
          <w:sz w:val="24"/>
          <w:szCs w:val="24"/>
        </w:rPr>
      </w:r>
    </w:p>
    <w:p>
      <w:pPr>
        <w:pStyle w:val="Normal"/>
        <w:rPr>
          <w:rFonts w:ascii="Times New Roman" w:hAnsi="Times New Roman" w:cs="Times New Roman"/>
          <w:b/>
          <w:b/>
          <w:bCs/>
          <w:color w:val="000000"/>
          <w:sz w:val="24"/>
          <w:szCs w:val="24"/>
        </w:rPr>
      </w:pPr>
      <w:r>
        <w:rPr>
          <w:rFonts w:cs="Times New Roman" w:ascii="Times New Roman" w:hAnsi="Times New Roman"/>
          <w:b/>
          <w:bCs/>
          <w:color w:val="000000"/>
          <w:sz w:val="24"/>
          <w:szCs w:val="24"/>
        </w:rPr>
        <w:t>Цената не включва:</w:t>
      </w:r>
    </w:p>
    <w:p>
      <w:pPr>
        <w:pStyle w:val="Style18"/>
        <w:numPr>
          <w:ilvl w:val="0"/>
          <w:numId w:val="3"/>
        </w:numPr>
        <w:tabs>
          <w:tab w:val="left" w:pos="1440" w:leader="none"/>
        </w:tabs>
        <w:jc w:val="both"/>
        <w:rPr>
          <w:sz w:val="24"/>
          <w:szCs w:val="24"/>
        </w:rPr>
      </w:pPr>
      <w:bookmarkStart w:id="0" w:name="__DdeLink__327_55175821"/>
      <w:r>
        <w:rPr>
          <w:bCs/>
          <w:color w:val="000000"/>
          <w:sz w:val="24"/>
          <w:szCs w:val="24"/>
        </w:rPr>
        <w:t xml:space="preserve">Доплащане за единична стая: </w:t>
      </w:r>
      <w:r>
        <w:rPr>
          <w:bCs/>
          <w:color w:val="000000"/>
          <w:sz w:val="24"/>
          <w:szCs w:val="24"/>
          <w:lang w:val="en-US"/>
        </w:rPr>
        <w:t xml:space="preserve">154 </w:t>
      </w:r>
      <w:r>
        <w:rPr>
          <w:bCs/>
          <w:color w:val="000000"/>
          <w:sz w:val="24"/>
          <w:szCs w:val="24"/>
        </w:rPr>
        <w:t>евро / 301 лв.</w:t>
      </w:r>
    </w:p>
    <w:p>
      <w:pPr>
        <w:pStyle w:val="Style18"/>
        <w:numPr>
          <w:ilvl w:val="0"/>
          <w:numId w:val="3"/>
        </w:numPr>
        <w:tabs>
          <w:tab w:val="left" w:pos="1440" w:leader="none"/>
        </w:tabs>
        <w:jc w:val="both"/>
        <w:rPr/>
      </w:pPr>
      <w:r>
        <w:rPr>
          <w:color w:val="000000"/>
          <w:sz w:val="24"/>
          <w:szCs w:val="24"/>
          <w:lang w:val="en-US"/>
        </w:rPr>
        <w:t>Медицинска застраховка към ЗA</w:t>
      </w:r>
      <w:r>
        <w:rPr>
          <w:color w:val="000000"/>
          <w:sz w:val="24"/>
          <w:szCs w:val="24"/>
        </w:rPr>
        <w:t xml:space="preserve">Д „Армеец“ </w:t>
      </w:r>
      <w:r>
        <w:rPr>
          <w:color w:val="000000"/>
          <w:sz w:val="24"/>
          <w:szCs w:val="24"/>
          <w:lang w:val="en-US"/>
        </w:rPr>
        <w:t xml:space="preserve"> за </w:t>
      </w:r>
      <w:r>
        <w:rPr>
          <w:color w:val="000000"/>
          <w:sz w:val="24"/>
          <w:szCs w:val="24"/>
        </w:rPr>
        <w:t>8</w:t>
      </w:r>
      <w:r>
        <w:rPr>
          <w:color w:val="000000"/>
          <w:sz w:val="24"/>
          <w:szCs w:val="24"/>
          <w:lang w:val="en-US"/>
        </w:rPr>
        <w:t xml:space="preserve"> дни с покритие 5000 евро за лица на възраст до </w:t>
      </w:r>
      <w:r>
        <w:rPr>
          <w:color w:val="000000"/>
          <w:sz w:val="24"/>
          <w:szCs w:val="24"/>
        </w:rPr>
        <w:t>70</w:t>
      </w:r>
      <w:r>
        <w:rPr>
          <w:color w:val="000000"/>
          <w:sz w:val="24"/>
          <w:szCs w:val="24"/>
          <w:lang w:val="en-US"/>
        </w:rPr>
        <w:t xml:space="preserve"> г. – </w:t>
      </w:r>
      <w:r>
        <w:rPr>
          <w:color w:val="000000"/>
          <w:sz w:val="24"/>
          <w:szCs w:val="24"/>
        </w:rPr>
        <w:t>8</w:t>
      </w:r>
      <w:r>
        <w:rPr>
          <w:color w:val="000000"/>
          <w:sz w:val="24"/>
          <w:szCs w:val="24"/>
          <w:lang w:val="en-US"/>
        </w:rPr>
        <w:t xml:space="preserve"> лв, за лица на възраст от </w:t>
      </w:r>
      <w:r>
        <w:rPr>
          <w:color w:val="000000"/>
          <w:sz w:val="24"/>
          <w:szCs w:val="24"/>
        </w:rPr>
        <w:t>70</w:t>
      </w:r>
      <w:r>
        <w:rPr>
          <w:color w:val="000000"/>
          <w:sz w:val="24"/>
          <w:szCs w:val="24"/>
          <w:lang w:val="en-US"/>
        </w:rPr>
        <w:t xml:space="preserve"> г. до </w:t>
      </w:r>
      <w:r>
        <w:rPr>
          <w:color w:val="000000"/>
          <w:sz w:val="24"/>
          <w:szCs w:val="24"/>
          <w:lang w:val="bg-BG"/>
        </w:rPr>
        <w:t>8</w:t>
      </w:r>
      <w:r>
        <w:rPr>
          <w:color w:val="000000"/>
          <w:sz w:val="24"/>
          <w:szCs w:val="24"/>
        </w:rPr>
        <w:t>5</w:t>
      </w:r>
      <w:r>
        <w:rPr>
          <w:color w:val="000000"/>
          <w:sz w:val="24"/>
          <w:szCs w:val="24"/>
          <w:lang w:val="en-US"/>
        </w:rPr>
        <w:t xml:space="preserve"> г. – </w:t>
      </w:r>
      <w:r>
        <w:rPr>
          <w:color w:val="000000"/>
          <w:sz w:val="24"/>
          <w:szCs w:val="24"/>
        </w:rPr>
        <w:t>18</w:t>
      </w:r>
      <w:r>
        <w:rPr>
          <w:color w:val="000000"/>
          <w:sz w:val="24"/>
          <w:szCs w:val="24"/>
          <w:lang w:val="en-US"/>
        </w:rPr>
        <w:t xml:space="preserve"> лв</w:t>
      </w:r>
      <w:r>
        <w:rPr>
          <w:color w:val="000000"/>
          <w:sz w:val="24"/>
          <w:szCs w:val="24"/>
        </w:rPr>
        <w:t>;</w:t>
      </w:r>
    </w:p>
    <w:p>
      <w:pPr>
        <w:pStyle w:val="Style18"/>
        <w:numPr>
          <w:ilvl w:val="0"/>
          <w:numId w:val="3"/>
        </w:numPr>
        <w:tabs>
          <w:tab w:val="left" w:pos="1440" w:leader="none"/>
        </w:tabs>
        <w:jc w:val="both"/>
        <w:rPr/>
      </w:pPr>
      <w:r>
        <w:rPr>
          <w:color w:val="000000"/>
          <w:sz w:val="24"/>
          <w:szCs w:val="24"/>
        </w:rPr>
        <w:t>Трансфер от и до Пловдив;</w:t>
      </w:r>
    </w:p>
    <w:p>
      <w:pPr>
        <w:pStyle w:val="Style18"/>
        <w:numPr>
          <w:ilvl w:val="0"/>
          <w:numId w:val="2"/>
        </w:numPr>
        <w:tabs>
          <w:tab w:val="left" w:pos="1440" w:leader="none"/>
        </w:tabs>
        <w:jc w:val="both"/>
        <w:rPr>
          <w:sz w:val="24"/>
          <w:szCs w:val="24"/>
        </w:rPr>
      </w:pPr>
      <w:r>
        <w:rPr>
          <w:color w:val="000000"/>
          <w:sz w:val="24"/>
          <w:szCs w:val="24"/>
        </w:rPr>
        <w:t>Екскурзия до Версай при минимум 25 туристи (предплаща се в офиса на агенцията) – 15 евро;</w:t>
      </w:r>
    </w:p>
    <w:p>
      <w:pPr>
        <w:pStyle w:val="Style18"/>
        <w:numPr>
          <w:ilvl w:val="0"/>
          <w:numId w:val="2"/>
        </w:numPr>
        <w:tabs>
          <w:tab w:val="left" w:pos="1440" w:leader="none"/>
        </w:tabs>
        <w:jc w:val="both"/>
        <w:rPr/>
      </w:pPr>
      <w:r>
        <w:rPr>
          <w:color w:val="000000"/>
          <w:sz w:val="24"/>
          <w:szCs w:val="24"/>
        </w:rPr>
        <w:t>Екскурзия до замъците Шамбор и Блоа при минимум 25 туристи – 25 евро;</w:t>
      </w:r>
    </w:p>
    <w:p>
      <w:pPr>
        <w:pStyle w:val="Style18"/>
        <w:numPr>
          <w:ilvl w:val="0"/>
          <w:numId w:val="2"/>
        </w:numPr>
        <w:tabs>
          <w:tab w:val="left" w:pos="1440" w:leader="none"/>
        </w:tabs>
        <w:jc w:val="both"/>
        <w:rPr>
          <w:lang w:val="bg-BG"/>
        </w:rPr>
      </w:pPr>
      <w:r>
        <w:rPr>
          <w:color w:val="000000"/>
          <w:sz w:val="24"/>
          <w:szCs w:val="24"/>
          <w:lang w:val="bg-BG"/>
        </w:rPr>
        <w:t>Трансфер от  Пловдив при минимум двама туристи – 15 лева;</w:t>
      </w:r>
    </w:p>
    <w:p>
      <w:pPr>
        <w:pStyle w:val="Style18"/>
        <w:numPr>
          <w:ilvl w:val="0"/>
          <w:numId w:val="2"/>
        </w:numPr>
        <w:tabs>
          <w:tab w:val="left" w:pos="1440" w:leader="none"/>
        </w:tabs>
        <w:jc w:val="both"/>
        <w:rPr>
          <w:color w:val="000000"/>
          <w:sz w:val="24"/>
          <w:szCs w:val="24"/>
        </w:rPr>
      </w:pPr>
      <w:r>
        <w:rPr>
          <w:color w:val="000000"/>
          <w:sz w:val="24"/>
          <w:szCs w:val="24"/>
        </w:rPr>
        <w:t>Входни такси за посещаваните туристически обекти;</w:t>
      </w:r>
    </w:p>
    <w:p>
      <w:pPr>
        <w:pStyle w:val="Style18"/>
        <w:numPr>
          <w:ilvl w:val="0"/>
          <w:numId w:val="2"/>
        </w:numPr>
        <w:tabs>
          <w:tab w:val="left" w:pos="1440" w:leader="none"/>
        </w:tabs>
        <w:jc w:val="both"/>
        <w:rPr>
          <w:b/>
          <w:b/>
          <w:bCs/>
          <w:color w:val="000000"/>
        </w:rPr>
      </w:pPr>
      <w:bookmarkStart w:id="1" w:name="__DdeLink__327_55175821"/>
      <w:bookmarkEnd w:id="1"/>
      <w:r>
        <w:rPr>
          <w:rStyle w:val="1"/>
          <w:color w:val="000000"/>
          <w:sz w:val="24"/>
          <w:szCs w:val="24"/>
        </w:rPr>
        <w:t>По желание – застраховка „Отмяна на пътуване“.</w:t>
      </w:r>
    </w:p>
    <w:p>
      <w:pPr>
        <w:pStyle w:val="Normal"/>
        <w:rPr>
          <w:rFonts w:ascii="Times New Roman" w:hAnsi="Times New Roman"/>
          <w:b/>
          <w:b/>
          <w:sz w:val="24"/>
          <w:szCs w:val="24"/>
          <w:lang w:val="de-DE"/>
        </w:rPr>
      </w:pPr>
      <w:r>
        <w:rPr>
          <w:rFonts w:ascii="Times New Roman" w:hAnsi="Times New Roman"/>
          <w:b/>
          <w:sz w:val="24"/>
          <w:szCs w:val="24"/>
          <w:lang w:val="de-DE"/>
        </w:rPr>
      </w:r>
    </w:p>
    <w:p>
      <w:pPr>
        <w:pStyle w:val="Normal"/>
        <w:rPr>
          <w:rFonts w:ascii="Times New Roman" w:hAnsi="Times New Roman"/>
          <w:sz w:val="24"/>
          <w:szCs w:val="24"/>
        </w:rPr>
      </w:pPr>
      <w:r>
        <w:rPr>
          <w:rFonts w:ascii="Times New Roman" w:hAnsi="Times New Roman"/>
          <w:b/>
          <w:bCs/>
          <w:sz w:val="24"/>
          <w:szCs w:val="24"/>
        </w:rPr>
        <w:t>Маршрут:</w:t>
      </w:r>
      <w:r>
        <w:rPr>
          <w:rFonts w:ascii="Times New Roman" w:hAnsi="Times New Roman"/>
          <w:sz w:val="24"/>
          <w:szCs w:val="24"/>
        </w:rPr>
        <w:t xml:space="preserve"> 2200 км.</w:t>
      </w:r>
    </w:p>
    <w:p>
      <w:pPr>
        <w:pStyle w:val="Normal"/>
        <w:rPr/>
      </w:pPr>
      <w:r>
        <w:rPr>
          <w:rFonts w:ascii="Times New Roman" w:hAnsi="Times New Roman"/>
          <w:b/>
          <w:bCs/>
          <w:sz w:val="24"/>
          <w:szCs w:val="24"/>
        </w:rPr>
        <w:t xml:space="preserve">С тази екскурзия ще посетите: </w:t>
      </w:r>
      <w:r>
        <w:rPr>
          <w:rFonts w:ascii="Times New Roman" w:hAnsi="Times New Roman"/>
          <w:sz w:val="24"/>
          <w:szCs w:val="24"/>
        </w:rPr>
        <w:t xml:space="preserve">Любляна, замъка Херенхимзее, Аугсбург, замъците Линдерхоф и Нойншванщайн, Страсбург, Париж, Версай </w:t>
      </w:r>
    </w:p>
    <w:p>
      <w:pPr>
        <w:pStyle w:val="Style18"/>
        <w:jc w:val="both"/>
        <w:rPr>
          <w:b/>
          <w:b/>
          <w:sz w:val="24"/>
          <w:szCs w:val="24"/>
          <w:lang w:val="de-DE"/>
        </w:rPr>
      </w:pPr>
      <w:r>
        <w:rPr>
          <w:b/>
          <w:sz w:val="24"/>
          <w:szCs w:val="24"/>
          <w:lang w:val="de-DE"/>
        </w:rPr>
      </w:r>
    </w:p>
    <w:p>
      <w:pPr>
        <w:pStyle w:val="Normal"/>
        <w:rPr/>
      </w:pPr>
      <w:r>
        <w:rPr>
          <w:rFonts w:ascii="Times New Roman" w:hAnsi="Times New Roman"/>
          <w:b/>
          <w:sz w:val="24"/>
          <w:szCs w:val="24"/>
        </w:rPr>
        <w:t>Туристическа програма:</w:t>
      </w:r>
    </w:p>
    <w:p>
      <w:pPr>
        <w:pStyle w:val="Normal"/>
        <w:rPr>
          <w:rFonts w:ascii="Times New Roman" w:hAnsi="Times New Roman"/>
          <w:sz w:val="24"/>
          <w:szCs w:val="24"/>
        </w:rPr>
      </w:pPr>
      <w:r>
        <w:rPr>
          <w:rFonts w:ascii="Times New Roman" w:hAnsi="Times New Roman"/>
          <w:b/>
          <w:sz w:val="24"/>
          <w:szCs w:val="24"/>
          <w:lang w:val="de-DE"/>
        </w:rPr>
        <w:t xml:space="preserve">1 Ден: София - </w:t>
      </w:r>
      <w:r>
        <w:rPr>
          <w:rFonts w:ascii="Times New Roman" w:hAnsi="Times New Roman"/>
          <w:b/>
          <w:sz w:val="24"/>
          <w:szCs w:val="24"/>
        </w:rPr>
        <w:t>Любляна</w:t>
      </w:r>
    </w:p>
    <w:p>
      <w:pPr>
        <w:pStyle w:val="Normal"/>
        <w:jc w:val="both"/>
        <w:rPr/>
      </w:pPr>
      <w:r>
        <w:rPr>
          <w:rFonts w:ascii="Times New Roman" w:hAnsi="Times New Roman"/>
          <w:sz w:val="24"/>
          <w:szCs w:val="24"/>
          <w:lang w:val="de-DE"/>
        </w:rPr>
        <w:t xml:space="preserve">Тръгване от </w:t>
      </w:r>
      <w:r>
        <w:rPr>
          <w:rFonts w:ascii="Times New Roman" w:hAnsi="Times New Roman"/>
          <w:sz w:val="24"/>
          <w:szCs w:val="24"/>
          <w:lang w:val="bg-BG"/>
        </w:rPr>
        <w:t xml:space="preserve">Пловдив в 05:00 от бензиностанция ОМВ до хотел „Санкт Петербург“ (заявява се и се заплаща предварително); от </w:t>
      </w:r>
      <w:r>
        <w:rPr>
          <w:rFonts w:ascii="Times New Roman" w:hAnsi="Times New Roman"/>
          <w:sz w:val="24"/>
          <w:szCs w:val="24"/>
          <w:lang w:val="de-DE"/>
        </w:rPr>
        <w:t xml:space="preserve">в 08:00 ч. От </w:t>
      </w:r>
      <w:r>
        <w:rPr>
          <w:rFonts w:ascii="Times New Roman" w:hAnsi="Times New Roman"/>
          <w:sz w:val="24"/>
          <w:szCs w:val="24"/>
          <w:lang w:val="bg-BG"/>
        </w:rPr>
        <w:t>София -</w:t>
      </w:r>
      <w:r>
        <w:rPr>
          <w:rFonts w:ascii="Times New Roman" w:hAnsi="Times New Roman"/>
          <w:sz w:val="24"/>
          <w:szCs w:val="24"/>
          <w:lang w:val="de-DE"/>
        </w:rPr>
        <w:t xml:space="preserve"> Национал</w:t>
      </w:r>
      <w:r>
        <w:rPr>
          <w:rFonts w:ascii="Times New Roman" w:hAnsi="Times New Roman"/>
          <w:sz w:val="24"/>
          <w:szCs w:val="24"/>
        </w:rPr>
        <w:t>ен</w:t>
      </w:r>
      <w:r>
        <w:rPr>
          <w:rFonts w:ascii="Times New Roman" w:hAnsi="Times New Roman"/>
          <w:sz w:val="24"/>
          <w:szCs w:val="24"/>
          <w:lang w:val="de-DE"/>
        </w:rPr>
        <w:t xml:space="preserve"> стадион “Васил Левски” </w:t>
      </w:r>
      <w:r>
        <w:rPr>
          <w:rFonts w:ascii="Times New Roman" w:hAnsi="Times New Roman"/>
          <w:sz w:val="24"/>
          <w:szCs w:val="24"/>
          <w:lang w:val="bg-BG"/>
        </w:rPr>
        <w:t>и в 08:30 от автогара „Сердика“ (само с предварителна заявка)</w:t>
      </w:r>
      <w:r>
        <w:rPr>
          <w:rFonts w:ascii="Times New Roman" w:hAnsi="Times New Roman"/>
          <w:sz w:val="24"/>
          <w:szCs w:val="24"/>
          <w:lang w:val="de-DE"/>
        </w:rPr>
        <w:t xml:space="preserve">. </w:t>
      </w:r>
      <w:r>
        <w:rPr>
          <w:rFonts w:ascii="Times New Roman" w:hAnsi="Times New Roman"/>
          <w:sz w:val="24"/>
          <w:szCs w:val="24"/>
        </w:rPr>
        <w:t xml:space="preserve">Транзитно преминаване през Сърбия. </w:t>
      </w:r>
      <w:r>
        <w:rPr>
          <w:rFonts w:ascii="Times New Roman" w:hAnsi="Times New Roman"/>
          <w:sz w:val="24"/>
          <w:szCs w:val="24"/>
          <w:lang w:val="de-DE"/>
        </w:rPr>
        <w:t xml:space="preserve">Настаняване в хотел в </w:t>
      </w:r>
      <w:r>
        <w:rPr>
          <w:rFonts w:ascii="Times New Roman" w:hAnsi="Times New Roman"/>
          <w:sz w:val="24"/>
          <w:szCs w:val="24"/>
        </w:rPr>
        <w:t>района на Любляна</w:t>
      </w:r>
      <w:r>
        <w:rPr>
          <w:rFonts w:ascii="Times New Roman" w:hAnsi="Times New Roman"/>
          <w:sz w:val="24"/>
          <w:szCs w:val="24"/>
          <w:lang w:val="de-DE"/>
        </w:rPr>
        <w:t xml:space="preserve">. </w:t>
      </w:r>
      <w:r>
        <w:rPr>
          <w:rFonts w:ascii="Times New Roman" w:hAnsi="Times New Roman"/>
          <w:sz w:val="24"/>
          <w:szCs w:val="24"/>
        </w:rPr>
        <w:t>Н</w:t>
      </w:r>
      <w:r>
        <w:rPr>
          <w:rFonts w:ascii="Times New Roman" w:hAnsi="Times New Roman"/>
          <w:sz w:val="24"/>
          <w:szCs w:val="24"/>
          <w:lang w:val="de-DE"/>
        </w:rPr>
        <w:t>ощувка.</w:t>
      </w:r>
    </w:p>
    <w:p>
      <w:pPr>
        <w:pStyle w:val="Normal"/>
        <w:jc w:val="both"/>
        <w:rPr>
          <w:rFonts w:ascii="Times New Roman" w:hAnsi="Times New Roman"/>
          <w:sz w:val="24"/>
          <w:szCs w:val="24"/>
        </w:rPr>
      </w:pPr>
      <w:r>
        <w:rPr>
          <w:rFonts w:ascii="Times New Roman" w:hAnsi="Times New Roman"/>
          <w:b/>
          <w:sz w:val="24"/>
          <w:szCs w:val="24"/>
        </w:rPr>
        <w:t>2 Ден: Любляна - Замъка Херенхимзее - Аугсбург</w:t>
      </w:r>
    </w:p>
    <w:p>
      <w:pPr>
        <w:pStyle w:val="Normal"/>
        <w:jc w:val="both"/>
        <w:rPr/>
      </w:pPr>
      <w:r>
        <w:rPr>
          <w:rFonts w:ascii="Times New Roman" w:hAnsi="Times New Roman"/>
          <w:sz w:val="24"/>
          <w:szCs w:val="24"/>
        </w:rPr>
        <w:t xml:space="preserve">Закуска. Кратка туристическа програма в Любляна - град на кръстопът, въплътил духа на централна Европа и Средиземноморието, мост между разнородни култури, настроения и идеи. С нашата разходка ще видите Старото кметство, Тримостието, централния площад с монумента на автора на словенския химн Франц Прешерн, Францисканския манастир, Змейския мост. Отпътуване за Германия и вълнуващия замък на Лудвиг </w:t>
      </w:r>
      <w:r>
        <w:rPr>
          <w:rFonts w:ascii="Times New Roman" w:hAnsi="Times New Roman"/>
          <w:sz w:val="24"/>
          <w:szCs w:val="24"/>
          <w:lang w:val="en-US"/>
        </w:rPr>
        <w:t>II</w:t>
      </w:r>
      <w:r>
        <w:rPr>
          <w:rFonts w:ascii="Times New Roman" w:hAnsi="Times New Roman"/>
          <w:sz w:val="24"/>
          <w:szCs w:val="24"/>
        </w:rPr>
        <w:t>- Херенхимзее, олицетворяващ сбъданата мечта на крал Лудвиг за “замък по-бляскав от Версай”. Лудвиг II строи този замък, за да се "спаси" от светския живот, баловете и  развлеченията. Това е място за уединение, където самотният крал можел да избяга от реалността и да се потопи в света на пълното блаженство. Той е живял тук само 10 дни, като всяка вечер заповядвал Огледалната зала да бъде осветявана от всичките 33 полилея и 44 свещника, в които горели 2000 свещи.Продължаваме към Аугсбург-роден град на бащата на Моцарт.Настаняване в хотел. Нощувка в района на Аугсбург.</w:t>
      </w:r>
    </w:p>
    <w:p>
      <w:pPr>
        <w:pStyle w:val="Normal"/>
        <w:rPr>
          <w:rFonts w:ascii="Times New Roman" w:hAnsi="Times New Roman"/>
          <w:sz w:val="24"/>
          <w:szCs w:val="24"/>
        </w:rPr>
      </w:pPr>
      <w:r>
        <w:rPr>
          <w:rFonts w:ascii="Times New Roman" w:hAnsi="Times New Roman"/>
          <w:b/>
          <w:sz w:val="24"/>
          <w:szCs w:val="24"/>
        </w:rPr>
        <w:t>3 Ден:  Аугсбург – замъците Линдерхоф и Нойшванщайн - Страсбург</w:t>
      </w:r>
    </w:p>
    <w:p>
      <w:pPr>
        <w:pStyle w:val="Normal"/>
        <w:jc w:val="both"/>
        <w:rPr>
          <w:rFonts w:ascii="Times New Roman" w:hAnsi="Times New Roman"/>
          <w:sz w:val="24"/>
          <w:szCs w:val="24"/>
        </w:rPr>
      </w:pPr>
      <w:r>
        <w:rPr>
          <w:rFonts w:ascii="Times New Roman" w:hAnsi="Times New Roman"/>
          <w:sz w:val="24"/>
          <w:szCs w:val="24"/>
        </w:rPr>
        <w:t>Закуска. Отпътуване към легендарните Баварски  замъци. Разглеждане на лятната резиденция на крал Лудвиг II – Линдерхоф, както казва самият той: "Мястото е едно от най-красивите места, някога намирани..." Фееричният дворец "Линдерхоф" - шедьовър в стил великолепен барок и  изискано рококо е любимия дворец на "последния добър и самотен крал" . Сред величествен планински пейзаж се крие едно истинско бижу, което поразява със своето очарование! Денят ни продължава с посещение на замъка Нойшванщайн -архитектурно творение, вдъхновило крал Лудвиг II, наречен „Безумни“ ,от легендата за лебедовия рицар Лоенгрин и от сюжетите в оперите на Вагнер.  Кацнал върху живописен хълм в подножието на Баварските Алпи, Нойшванщайн е един неповторим дворец,една фантазия от камък, сякаш току що появила се от някоя завладяваща детска книжка. Самото име ("Нов лебедов камък") идва от мита за Лоенгрин - Рицаря лебед. Вагнер създава по него едноименната опера, а Чайковски пише балета "Лебедово езеро". Любопитен факт е, че замъкът е трябвало да бъде "достоен храм за богоподобен приятел", както сам кралят се изразява,но Рихард Вагнер никога не го посещава. Отпътуване за Франция и очарователния Страсбург. Настаняване в хотел. Нощувка.</w:t>
      </w:r>
    </w:p>
    <w:p>
      <w:pPr>
        <w:pStyle w:val="Normal"/>
        <w:rPr>
          <w:rFonts w:ascii="Times New Roman" w:hAnsi="Times New Roman"/>
          <w:sz w:val="24"/>
          <w:szCs w:val="24"/>
        </w:rPr>
      </w:pPr>
      <w:r>
        <w:rPr>
          <w:rFonts w:ascii="Times New Roman" w:hAnsi="Times New Roman"/>
          <w:b/>
          <w:sz w:val="24"/>
          <w:szCs w:val="24"/>
        </w:rPr>
        <w:t>4 Ден:  Страсбург - Париж</w:t>
      </w:r>
    </w:p>
    <w:p>
      <w:pPr>
        <w:pStyle w:val="Normal"/>
        <w:jc w:val="both"/>
        <w:rPr/>
      </w:pPr>
      <w:r>
        <w:rPr>
          <w:rFonts w:ascii="Times New Roman" w:hAnsi="Times New Roman"/>
          <w:sz w:val="24"/>
          <w:szCs w:val="24"/>
        </w:rPr>
        <w:t>Закуска. Туристическа програма в Страсбург, където се ражда бъдещето, докато миналото живее в красота. С какво ще запомним  Страсбург? С щъркелите, които не се страхуват дори да зимуват тук,  готическата катедрала, характеризирана от Виктор Юго като „чудо на величието и изяществото”,с почти нереалната красота и прелест на квартала „Малката Франция”,с вълшебната  приказка от архитектура, естетика и висок стандарт, с разходката с корабче,от което  ще видим  и  сградите на Европейския парламент, Международния съд за правата на човека и Съвета на Европа. /12.50 EUR/. Отпътуване към Париж и неустоимите изкушения на града на любовта и светлината!   Настаняване в хотел.  Нощувка в района на Париж.</w:t>
      </w:r>
    </w:p>
    <w:p>
      <w:pPr>
        <w:pStyle w:val="Normal"/>
        <w:rPr>
          <w:rFonts w:ascii="Times New Roman" w:hAnsi="Times New Roman"/>
          <w:sz w:val="24"/>
          <w:szCs w:val="24"/>
        </w:rPr>
      </w:pPr>
      <w:r>
        <w:rPr>
          <w:rFonts w:ascii="Times New Roman" w:hAnsi="Times New Roman"/>
          <w:b/>
          <w:sz w:val="24"/>
          <w:szCs w:val="24"/>
        </w:rPr>
        <w:t>5 Ден:  Париж</w:t>
      </w:r>
    </w:p>
    <w:p>
      <w:pPr>
        <w:pStyle w:val="Normal"/>
        <w:jc w:val="both"/>
        <w:rPr>
          <w:rFonts w:ascii="Verdana" w:hAnsi="Verdana"/>
        </w:rPr>
      </w:pPr>
      <w:r>
        <w:rPr>
          <w:rFonts w:ascii="Times New Roman" w:hAnsi="Times New Roman"/>
          <w:sz w:val="24"/>
          <w:szCs w:val="24"/>
        </w:rPr>
        <w:t>Закуска.Туристическа програма в Париж -площад Конкорд, най-големия площад в Париж, обелиска от  Луксор ,подарък от Мохамед Али , шейх на Египет за крал Луи Филип,църквата Мадлена,Парламента,легендарната Шанз Елизе с елегантни магазини и луксозни ресторанти,Триумфалната арка  по модел на арката на Константин в Рим,Notre Damе - безспорен  шедьовър на готическата архитектура. Разглеждане на Лувъра – съкровищница от шедьоври, величествен парижки дворец, пазещ спомена за поколения френски крале от Средновековието до XIX-ти век. Красивата сграда съхранява исторически и неповторими  творби  от различни епохи, както и едни от най-великите произведения на световното изкуство като древногръцката Венера Милоска, „Мона Лиза” на Леонардо да Винчи, картините на Рафаело, „Свободата води народа” на Йожени Делакроа...  Ще се изкачим на Айфеловата кула,Дантелената Дама на Париж,която изкачва посетителите  високо над човешките мечти.Ще видим още Монументалния ансамбъл Инвалиди,Парижката Гранд опера,площад Вандом,базиликата Сакре Кьор на хълма Монмартър.Ще направим спиращо дъха пътешествие по Сена,люлката на Париж,под звуците на популярни френски шансони . Връщане в хотела. Нощувка.</w:t>
      </w:r>
    </w:p>
    <w:p>
      <w:pPr>
        <w:pStyle w:val="Normal"/>
        <w:rPr>
          <w:rFonts w:ascii="Times New Roman" w:hAnsi="Times New Roman"/>
          <w:sz w:val="24"/>
          <w:szCs w:val="24"/>
        </w:rPr>
      </w:pPr>
      <w:r>
        <w:rPr>
          <w:rFonts w:ascii="Times New Roman" w:hAnsi="Times New Roman"/>
          <w:b/>
          <w:sz w:val="24"/>
          <w:szCs w:val="24"/>
        </w:rPr>
        <w:t xml:space="preserve">6 Ден:  Париж – екскурзия до Версай </w:t>
      </w:r>
    </w:p>
    <w:p>
      <w:pPr>
        <w:pStyle w:val="Normal"/>
        <w:jc w:val="both"/>
        <w:rPr/>
      </w:pPr>
      <w:r>
        <w:rPr>
          <w:rFonts w:ascii="Times New Roman" w:hAnsi="Times New Roman"/>
          <w:sz w:val="24"/>
          <w:szCs w:val="24"/>
        </w:rPr>
        <w:t xml:space="preserve">Закуска. Свободно време или по желание екскурзия до двореца Версай (15 евро) ,където ще се срещнем с великолепието,с невероятния разкош на Краля-Слънце, както и с безброй многото отпечатъци и символи на изкуството. Носейки се на крилете на военните си успехи, Луи XIV създава едно от чудесата на съвременна Франция... </w:t>
      </w:r>
    </w:p>
    <w:p>
      <w:pPr>
        <w:pStyle w:val="Normal"/>
        <w:jc w:val="both"/>
        <w:rPr>
          <w:rFonts w:ascii="Verdana" w:hAnsi="Verdana"/>
        </w:rPr>
      </w:pPr>
      <w:r>
        <w:rPr>
          <w:rFonts w:ascii="Times New Roman" w:hAnsi="Times New Roman"/>
          <w:sz w:val="24"/>
          <w:szCs w:val="24"/>
        </w:rPr>
        <w:t>Връщане в  Париж - градът на влюбените. Следват незабравими мигове на хълма Монмартър, сред пъстро великолепие от картини на Площада на художниците,бохемска атмосфера и френски шик. Този живописен квартал ще ви подари усещане за свобода, примесено с артистичен хаос. Точно тук, всички мечти изглеждат реални, дори невъзможните… Ако може да  се опише Париж с една дума, то тя би била „любов”. Но не може. Защото този град има много определения, лица, нюанси и детайли, и именно в това се крие магията на Париж. Монмартър е идеално място за разходка по всяко време на денонощието. Връщане в хотела. Нощувка.</w:t>
      </w:r>
    </w:p>
    <w:p>
      <w:pPr>
        <w:pStyle w:val="Normal"/>
        <w:rPr>
          <w:rFonts w:ascii="Times New Roman" w:hAnsi="Times New Roman"/>
          <w:sz w:val="24"/>
          <w:szCs w:val="24"/>
        </w:rPr>
      </w:pPr>
      <w:r>
        <w:rPr>
          <w:rFonts w:ascii="Times New Roman" w:hAnsi="Times New Roman"/>
          <w:b/>
          <w:sz w:val="24"/>
          <w:szCs w:val="24"/>
        </w:rPr>
        <w:t>7 Ден:  Париж – екскурзия до замъците по Лоара</w:t>
      </w:r>
    </w:p>
    <w:p>
      <w:pPr>
        <w:pStyle w:val="Normal"/>
        <w:jc w:val="both"/>
        <w:rPr>
          <w:rFonts w:ascii="Verdana" w:hAnsi="Verdana"/>
          <w:color w:val="000000" w:themeColor="text1"/>
        </w:rPr>
      </w:pPr>
      <w:r>
        <w:rPr>
          <w:rFonts w:cs="Calibri" w:ascii="Times New Roman" w:hAnsi="Times New Roman" w:cstheme="minorHAnsi"/>
          <w:sz w:val="24"/>
          <w:szCs w:val="24"/>
        </w:rPr>
        <w:t xml:space="preserve">Закуска. Свободно време или по желание екскурзия до замъците по Лоара (25 евро). Отпътуване към живописната долина на Лоара,наричана „Градината на Франция“, заради приказната си красота,където все още се носят легенди за любов и интриги, за пищни балове  и ловни трофеи. Не случайно Юнеско е обявило за паметник на световното културно наследство цялото пространство. Ние пък ви предлагаме да се потопите в двата  спиращи дъха замъци (25 евро) и да се докоснете до тяхната величествена осанка и магическо очарование. Посещение на Шамбор – екстравагантен замък и шедьовър на френската ренесансова архитектура,великолепно творение на Франсоа I и  вдъхновение за екипа на Дисни, когато създават филмчето за „Красавицата и Звяра“. Емблематичен с уникалната си архитектура и 440 стаи,където с неподражаема красота се преплитат традиционните форми на френските средновековни крепости с класическите фигури и детайли, прибавени от ренесансовите майстори. Следва замъка Блоа  с  могъща  и величествена осанка ,който е  е сред най-внушителните замъци, извисяващи се над Лоара  и  е блестящ образец за развитието на френската архитектура от Средновековието до </w:t>
      </w:r>
      <w:r>
        <w:rPr>
          <w:rFonts w:cs="Calibri" w:ascii="Times New Roman" w:hAnsi="Times New Roman" w:cstheme="minorHAnsi"/>
          <w:sz w:val="24"/>
          <w:szCs w:val="24"/>
          <w:lang w:val="en-US"/>
        </w:rPr>
        <w:t>XVII</w:t>
      </w:r>
      <w:r>
        <w:rPr>
          <w:rFonts w:cs="Calibri" w:ascii="Times New Roman" w:hAnsi="Times New Roman" w:cstheme="minorHAnsi"/>
          <w:sz w:val="24"/>
          <w:szCs w:val="24"/>
        </w:rPr>
        <w:t>-ти век,бил резиденция  на Катерина Медичи и Кралица Марго</w:t>
      </w:r>
      <w:r>
        <w:rPr>
          <w:rFonts w:ascii="Times New Roman" w:hAnsi="Times New Roman"/>
          <w:sz w:val="24"/>
          <w:szCs w:val="24"/>
        </w:rPr>
        <w:t>.</w:t>
      </w:r>
      <w:r>
        <w:rPr>
          <w:rFonts w:ascii="Times New Roman" w:hAnsi="Times New Roman"/>
          <w:color w:val="000000" w:themeColor="text1"/>
          <w:sz w:val="24"/>
          <w:szCs w:val="24"/>
        </w:rPr>
        <w:t>Връщане в Париж. Нощувка.</w:t>
      </w:r>
    </w:p>
    <w:p>
      <w:pPr>
        <w:pStyle w:val="Normal"/>
        <w:rPr>
          <w:rFonts w:ascii="Times New Roman" w:hAnsi="Times New Roman"/>
          <w:sz w:val="24"/>
          <w:szCs w:val="24"/>
        </w:rPr>
      </w:pPr>
      <w:bookmarkStart w:id="2" w:name="_GoBack"/>
      <w:bookmarkEnd w:id="2"/>
      <w:r>
        <w:rPr>
          <w:rFonts w:ascii="Times New Roman" w:hAnsi="Times New Roman"/>
          <w:b/>
          <w:sz w:val="24"/>
          <w:szCs w:val="24"/>
        </w:rPr>
        <w:t>8 Ден:  Париж – София</w:t>
      </w:r>
    </w:p>
    <w:p>
      <w:pPr>
        <w:pStyle w:val="Normal"/>
        <w:rPr>
          <w:rFonts w:ascii="Times New Roman" w:hAnsi="Times New Roman"/>
          <w:sz w:val="24"/>
          <w:szCs w:val="24"/>
        </w:rPr>
      </w:pPr>
      <w:r>
        <w:rPr>
          <w:rFonts w:ascii="Times New Roman" w:hAnsi="Times New Roman"/>
          <w:sz w:val="24"/>
          <w:szCs w:val="24"/>
        </w:rPr>
        <w:t>Закуска. Трансфер до летището. Полет Париж – София</w:t>
      </w:r>
      <w:r>
        <w:rPr>
          <w:rFonts w:ascii="Times New Roman" w:hAnsi="Times New Roman"/>
          <w:color w:val="000000" w:themeColor="text1"/>
          <w:sz w:val="24"/>
          <w:szCs w:val="24"/>
        </w:rPr>
        <w:t>.</w:t>
      </w:r>
    </w:p>
    <w:p>
      <w:pPr>
        <w:pStyle w:val="Normal"/>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Web"/>
        <w:shd w:val="clear" w:color="auto" w:fill="FFFFFF"/>
        <w:spacing w:lineRule="atLeast" w:line="255"/>
        <w:jc w:val="both"/>
        <w:rPr/>
      </w:pPr>
      <w:r>
        <w:rPr>
          <w:rStyle w:val="Style15"/>
          <w:bCs w:val="false"/>
          <w:color w:val="000000"/>
          <w:sz w:val="24"/>
          <w:szCs w:val="24"/>
          <w:u w:val="single"/>
        </w:rPr>
        <w:t>Полетно разписание:</w:t>
      </w:r>
    </w:p>
    <w:tbl>
      <w:tblPr>
        <w:tblW w:w="9534" w:type="dxa"/>
        <w:jc w:val="left"/>
        <w:tblInd w:w="-90" w:type="dxa"/>
        <w:tblBorders>
          <w:top w:val="single" w:sz="4" w:space="0" w:color="000001"/>
          <w:left w:val="single" w:sz="4" w:space="0" w:color="000001"/>
          <w:bottom w:val="single" w:sz="4" w:space="0" w:color="000001"/>
          <w:insideH w:val="single" w:sz="4" w:space="0" w:color="000001"/>
        </w:tblBorders>
        <w:tblCellMar>
          <w:top w:w="0" w:type="dxa"/>
          <w:left w:w="48" w:type="dxa"/>
          <w:bottom w:w="0" w:type="dxa"/>
          <w:right w:w="108" w:type="dxa"/>
        </w:tblCellMar>
        <w:tblLook w:firstRow="1" w:noVBand="1" w:lastRow="0" w:firstColumn="1" w:lastColumn="0" w:noHBand="0" w:val="04a0"/>
      </w:tblPr>
      <w:tblGrid>
        <w:gridCol w:w="2025"/>
        <w:gridCol w:w="2047"/>
        <w:gridCol w:w="1697"/>
        <w:gridCol w:w="1558"/>
        <w:gridCol w:w="2207"/>
      </w:tblGrid>
      <w:tr>
        <w:trPr>
          <w:trHeight w:val="371" w:hRule="atLeast"/>
        </w:trPr>
        <w:tc>
          <w:tcPr>
            <w:tcW w:w="2025" w:type="dxa"/>
            <w:tcBorders>
              <w:top w:val="single" w:sz="4" w:space="0" w:color="000001"/>
              <w:left w:val="single" w:sz="4" w:space="0" w:color="000001"/>
              <w:bottom w:val="single" w:sz="4" w:space="0" w:color="000001"/>
              <w:insideH w:val="single" w:sz="4" w:space="0" w:color="000001"/>
            </w:tcBorders>
            <w:shd w:color="auto" w:fill="FFC000" w:val="clear"/>
            <w:tcMar>
              <w:left w:w="48" w:type="dxa"/>
            </w:tcMar>
          </w:tcPr>
          <w:p>
            <w:pPr>
              <w:pStyle w:val="NormalWeb"/>
              <w:spacing w:lineRule="atLeast" w:line="255" w:before="280" w:after="280"/>
              <w:jc w:val="center"/>
              <w:rPr>
                <w:b/>
                <w:b/>
                <w:sz w:val="24"/>
                <w:szCs w:val="24"/>
              </w:rPr>
            </w:pPr>
            <w:r>
              <w:rPr>
                <w:b/>
                <w:sz w:val="24"/>
                <w:szCs w:val="24"/>
              </w:rPr>
              <w:t>Авиокомпания</w:t>
            </w:r>
          </w:p>
        </w:tc>
        <w:tc>
          <w:tcPr>
            <w:tcW w:w="2047" w:type="dxa"/>
            <w:tcBorders>
              <w:top w:val="single" w:sz="4" w:space="0" w:color="000001"/>
              <w:left w:val="single" w:sz="4" w:space="0" w:color="000001"/>
              <w:bottom w:val="single" w:sz="4" w:space="0" w:color="000001"/>
              <w:insideH w:val="single" w:sz="4" w:space="0" w:color="000001"/>
            </w:tcBorders>
            <w:shd w:color="auto" w:fill="FFC000" w:val="clear"/>
            <w:tcMar>
              <w:left w:w="48" w:type="dxa"/>
            </w:tcMar>
          </w:tcPr>
          <w:p>
            <w:pPr>
              <w:pStyle w:val="NormalWeb"/>
              <w:spacing w:lineRule="atLeast" w:line="255" w:before="280" w:after="280"/>
              <w:jc w:val="center"/>
              <w:rPr>
                <w:b/>
                <w:b/>
                <w:sz w:val="24"/>
                <w:szCs w:val="24"/>
              </w:rPr>
            </w:pPr>
            <w:r>
              <w:rPr>
                <w:b/>
                <w:sz w:val="24"/>
                <w:szCs w:val="24"/>
              </w:rPr>
              <w:t>Направление</w:t>
            </w:r>
          </w:p>
        </w:tc>
        <w:tc>
          <w:tcPr>
            <w:tcW w:w="1697" w:type="dxa"/>
            <w:tcBorders>
              <w:top w:val="single" w:sz="4" w:space="0" w:color="000001"/>
              <w:left w:val="single" w:sz="4" w:space="0" w:color="000001"/>
              <w:bottom w:val="single" w:sz="4" w:space="0" w:color="000001"/>
              <w:insideH w:val="single" w:sz="4" w:space="0" w:color="000001"/>
            </w:tcBorders>
            <w:shd w:color="auto" w:fill="FFC000" w:val="clear"/>
            <w:tcMar>
              <w:left w:w="48" w:type="dxa"/>
            </w:tcMar>
          </w:tcPr>
          <w:p>
            <w:pPr>
              <w:pStyle w:val="NormalWeb"/>
              <w:spacing w:lineRule="atLeast" w:line="255" w:before="280" w:after="280"/>
              <w:jc w:val="center"/>
              <w:rPr>
                <w:b/>
                <w:b/>
                <w:sz w:val="24"/>
                <w:szCs w:val="24"/>
              </w:rPr>
            </w:pPr>
            <w:r>
              <w:rPr>
                <w:b/>
                <w:sz w:val="24"/>
                <w:szCs w:val="24"/>
              </w:rPr>
              <w:t>Излита</w:t>
            </w:r>
          </w:p>
        </w:tc>
        <w:tc>
          <w:tcPr>
            <w:tcW w:w="1558" w:type="dxa"/>
            <w:tcBorders>
              <w:top w:val="single" w:sz="4" w:space="0" w:color="000001"/>
              <w:left w:val="single" w:sz="4" w:space="0" w:color="000001"/>
              <w:bottom w:val="single" w:sz="4" w:space="0" w:color="000001"/>
              <w:insideH w:val="single" w:sz="4" w:space="0" w:color="000001"/>
            </w:tcBorders>
            <w:shd w:color="auto" w:fill="FFC000" w:val="clear"/>
            <w:tcMar>
              <w:left w:w="48" w:type="dxa"/>
            </w:tcMar>
          </w:tcPr>
          <w:p>
            <w:pPr>
              <w:pStyle w:val="NormalWeb"/>
              <w:spacing w:lineRule="atLeast" w:line="255" w:before="280" w:after="280"/>
              <w:jc w:val="center"/>
              <w:rPr>
                <w:b/>
                <w:b/>
                <w:sz w:val="24"/>
                <w:szCs w:val="24"/>
              </w:rPr>
            </w:pPr>
            <w:r>
              <w:rPr>
                <w:b/>
                <w:sz w:val="24"/>
                <w:szCs w:val="24"/>
              </w:rPr>
              <w:t>Каца</w:t>
            </w:r>
          </w:p>
        </w:tc>
        <w:tc>
          <w:tcPr>
            <w:tcW w:w="2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C000" w:val="clear"/>
            <w:tcMar>
              <w:left w:w="48" w:type="dxa"/>
            </w:tcMar>
          </w:tcPr>
          <w:p>
            <w:pPr>
              <w:pStyle w:val="NormalWeb"/>
              <w:spacing w:lineRule="atLeast" w:line="255" w:before="280" w:after="280"/>
              <w:jc w:val="center"/>
              <w:rPr>
                <w:b/>
                <w:b/>
                <w:sz w:val="24"/>
                <w:szCs w:val="24"/>
              </w:rPr>
            </w:pPr>
            <w:r>
              <w:rPr>
                <w:b/>
                <w:sz w:val="24"/>
                <w:szCs w:val="24"/>
              </w:rPr>
              <w:t xml:space="preserve">Летище </w:t>
            </w:r>
          </w:p>
        </w:tc>
      </w:tr>
      <w:tr>
        <w:trPr>
          <w:trHeight w:val="614" w:hRule="atLeast"/>
        </w:trPr>
        <w:tc>
          <w:tcPr>
            <w:tcW w:w="2025" w:type="dxa"/>
            <w:tcBorders>
              <w:top w:val="single" w:sz="4" w:space="0" w:color="000001"/>
              <w:left w:val="single" w:sz="4" w:space="0" w:color="000001"/>
              <w:bottom w:val="single" w:sz="4" w:space="0" w:color="000001"/>
              <w:insideH w:val="single" w:sz="4" w:space="0" w:color="000001"/>
            </w:tcBorders>
            <w:shd w:color="auto" w:fill="auto" w:val="clear"/>
            <w:tcMar>
              <w:left w:w="48" w:type="dxa"/>
            </w:tcMar>
            <w:vAlign w:val="center"/>
          </w:tcPr>
          <w:p>
            <w:pPr>
              <w:pStyle w:val="NormalWeb"/>
              <w:snapToGrid w:val="false"/>
              <w:spacing w:lineRule="atLeast" w:line="255" w:before="280" w:after="280"/>
              <w:jc w:val="center"/>
              <w:rPr>
                <w:b/>
                <w:b/>
                <w:bCs/>
                <w:sz w:val="24"/>
                <w:szCs w:val="24"/>
                <w:lang w:val="en-US"/>
              </w:rPr>
            </w:pPr>
            <w:r>
              <w:rPr>
                <w:b/>
                <w:bCs/>
                <w:sz w:val="24"/>
                <w:szCs w:val="24"/>
                <w:lang w:val="en-US"/>
              </w:rPr>
              <w:t>Bulgaria Air</w:t>
            </w:r>
          </w:p>
        </w:tc>
        <w:tc>
          <w:tcPr>
            <w:tcW w:w="2047" w:type="dxa"/>
            <w:tcBorders>
              <w:top w:val="single" w:sz="4" w:space="0" w:color="000001"/>
              <w:left w:val="single" w:sz="4" w:space="0" w:color="000001"/>
              <w:bottom w:val="single" w:sz="4" w:space="0" w:color="000001"/>
              <w:insideH w:val="single" w:sz="4" w:space="0" w:color="000001"/>
            </w:tcBorders>
            <w:shd w:color="auto" w:fill="auto" w:val="clear"/>
            <w:tcMar>
              <w:left w:w="48" w:type="dxa"/>
            </w:tcMar>
          </w:tcPr>
          <w:p>
            <w:pPr>
              <w:pStyle w:val="NormalWeb"/>
              <w:snapToGrid w:val="false"/>
              <w:spacing w:lineRule="atLeast" w:line="255" w:before="280" w:after="280"/>
              <w:jc w:val="center"/>
              <w:rPr>
                <w:b/>
                <w:b/>
                <w:sz w:val="24"/>
                <w:szCs w:val="24"/>
              </w:rPr>
            </w:pPr>
            <w:r>
              <w:rPr>
                <w:b/>
                <w:sz w:val="24"/>
                <w:szCs w:val="24"/>
              </w:rPr>
              <w:t xml:space="preserve">Париж – София </w:t>
            </w:r>
          </w:p>
        </w:tc>
        <w:tc>
          <w:tcPr>
            <w:tcW w:w="1697" w:type="dxa"/>
            <w:tcBorders>
              <w:top w:val="single" w:sz="4" w:space="0" w:color="000001"/>
              <w:left w:val="single" w:sz="4" w:space="0" w:color="000001"/>
              <w:bottom w:val="single" w:sz="4" w:space="0" w:color="000001"/>
              <w:insideH w:val="single" w:sz="4" w:space="0" w:color="000001"/>
            </w:tcBorders>
            <w:shd w:color="auto" w:fill="auto" w:val="clear"/>
            <w:tcMar>
              <w:left w:w="48" w:type="dxa"/>
            </w:tcMar>
          </w:tcPr>
          <w:p>
            <w:pPr>
              <w:pStyle w:val="NormalWeb"/>
              <w:snapToGrid w:val="false"/>
              <w:spacing w:lineRule="atLeast" w:line="255" w:before="280" w:after="280"/>
              <w:jc w:val="center"/>
              <w:rPr>
                <w:b/>
                <w:b/>
                <w:bCs/>
                <w:sz w:val="24"/>
                <w:szCs w:val="24"/>
                <w:lang w:val="en-US"/>
              </w:rPr>
            </w:pPr>
            <w:r>
              <w:rPr>
                <w:b/>
                <w:bCs/>
                <w:sz w:val="24"/>
                <w:szCs w:val="24"/>
                <w:lang w:val="en-US"/>
              </w:rPr>
              <w:t>10:10</w:t>
            </w:r>
          </w:p>
        </w:tc>
        <w:tc>
          <w:tcPr>
            <w:tcW w:w="1558" w:type="dxa"/>
            <w:tcBorders>
              <w:top w:val="single" w:sz="4" w:space="0" w:color="000001"/>
              <w:left w:val="single" w:sz="4" w:space="0" w:color="000001"/>
              <w:bottom w:val="single" w:sz="4" w:space="0" w:color="000001"/>
              <w:insideH w:val="single" w:sz="4" w:space="0" w:color="000001"/>
            </w:tcBorders>
            <w:shd w:color="auto" w:fill="auto" w:val="clear"/>
            <w:tcMar>
              <w:left w:w="48" w:type="dxa"/>
            </w:tcMar>
          </w:tcPr>
          <w:p>
            <w:pPr>
              <w:pStyle w:val="NormalWeb"/>
              <w:snapToGrid w:val="false"/>
              <w:spacing w:lineRule="atLeast" w:line="255" w:before="280" w:after="280"/>
              <w:jc w:val="center"/>
              <w:rPr>
                <w:b/>
                <w:b/>
                <w:bCs/>
                <w:sz w:val="24"/>
                <w:szCs w:val="24"/>
                <w:lang w:val="en-US"/>
              </w:rPr>
            </w:pPr>
            <w:r>
              <w:rPr>
                <w:b/>
                <w:bCs/>
                <w:sz w:val="24"/>
                <w:szCs w:val="24"/>
                <w:lang w:val="en-US"/>
              </w:rPr>
              <w:t>13:50</w:t>
            </w:r>
          </w:p>
        </w:tc>
        <w:tc>
          <w:tcPr>
            <w:tcW w:w="22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48" w:type="dxa"/>
            </w:tcMar>
          </w:tcPr>
          <w:p>
            <w:pPr>
              <w:pStyle w:val="Style19"/>
              <w:snapToGrid w:val="false"/>
              <w:spacing w:lineRule="atLeast" w:line="255" w:before="280" w:after="280"/>
              <w:jc w:val="center"/>
              <w:rPr>
                <w:b/>
                <w:b/>
                <w:bCs/>
                <w:sz w:val="24"/>
                <w:szCs w:val="24"/>
                <w:lang w:val="en-US"/>
              </w:rPr>
            </w:pPr>
            <w:r>
              <w:rPr>
                <w:b/>
                <w:bCs/>
                <w:sz w:val="24"/>
                <w:szCs w:val="24"/>
                <w:lang w:val="en-US"/>
              </w:rPr>
              <w:t xml:space="preserve">Paris / Charles de Gaulle     </w:t>
            </w:r>
          </w:p>
        </w:tc>
      </w:tr>
    </w:tbl>
    <w:p>
      <w:pPr>
        <w:pStyle w:val="Style18"/>
        <w:widowControl w:val="false"/>
        <w:spacing w:before="0" w:after="283"/>
        <w:rPr>
          <w:sz w:val="24"/>
          <w:szCs w:val="24"/>
        </w:rPr>
      </w:pPr>
      <w:r>
        <w:rPr>
          <w:rFonts w:cs="Arial"/>
          <w:i/>
          <w:iCs/>
          <w:color w:val="202020"/>
          <w:sz w:val="24"/>
          <w:szCs w:val="24"/>
        </w:rPr>
        <w:t>* Полетното разписание подлежи на препотвърждение.</w:t>
      </w:r>
      <w:r>
        <w:rPr>
          <w:rFonts w:cs="Calibri"/>
          <w:i/>
          <w:iCs/>
          <w:color w:val="000000"/>
          <w:sz w:val="24"/>
          <w:szCs w:val="24"/>
        </w:rPr>
        <w:t xml:space="preserve"> </w:t>
      </w:r>
    </w:p>
    <w:p>
      <w:pPr>
        <w:pStyle w:val="TextBody"/>
        <w:widowControl w:val="false"/>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TextBody"/>
        <w:jc w:val="both"/>
        <w:rPr>
          <w:rFonts w:ascii="Times New Roman" w:hAnsi="Times New Roman" w:cs="Times New Roman"/>
          <w:b/>
          <w:b/>
          <w:bCs/>
          <w:color w:val="000000"/>
          <w:sz w:val="24"/>
          <w:szCs w:val="24"/>
          <w:highlight w:val="white"/>
          <w:u w:val="single"/>
          <w:lang w:val="bg-BG" w:eastAsia="zxx" w:bidi="zxx"/>
        </w:rPr>
      </w:pPr>
      <w:bookmarkStart w:id="3" w:name="__DdeLink__164_1290588804"/>
      <w:bookmarkEnd w:id="3"/>
      <w:r>
        <w:rPr>
          <w:rFonts w:cs="Times New Roman" w:ascii="Times New Roman" w:hAnsi="Times New Roman"/>
          <w:b/>
          <w:bCs/>
          <w:color w:val="000000"/>
          <w:sz w:val="24"/>
          <w:szCs w:val="24"/>
          <w:u w:val="single"/>
          <w:shd w:fill="FFFFFF" w:val="clear"/>
          <w:lang w:val="bg-BG" w:eastAsia="zxx" w:bidi="zxx"/>
        </w:rPr>
        <w:t>Условия за записване:</w:t>
      </w:r>
    </w:p>
    <w:p>
      <w:pPr>
        <w:pStyle w:val="TextBody"/>
        <w:widowControl w:val="false"/>
        <w:rPr>
          <w:rFonts w:ascii="Times New Roman" w:hAnsi="Times New Roman" w:cs="Times New Roman"/>
          <w:b w:val="false"/>
          <w:b w:val="false"/>
          <w:bCs w:val="false"/>
          <w:sz w:val="24"/>
          <w:szCs w:val="24"/>
          <w:u w:val="none"/>
          <w:lang w:val="bg-BG"/>
        </w:rPr>
      </w:pPr>
      <w:r>
        <w:rPr>
          <w:rFonts w:cs="Times New Roman" w:ascii="Times New Roman" w:hAnsi="Times New Roman"/>
          <w:b w:val="false"/>
          <w:bCs w:val="false"/>
          <w:sz w:val="24"/>
          <w:szCs w:val="24"/>
          <w:u w:val="none"/>
          <w:lang w:val="bg-BG"/>
        </w:rPr>
        <w:t>Депозит: 50% от пакетната цена;</w:t>
      </w:r>
    </w:p>
    <w:p>
      <w:pPr>
        <w:pStyle w:val="TextBody"/>
        <w:widowControl w:val="false"/>
        <w:rPr>
          <w:rFonts w:ascii="Times New Roman" w:hAnsi="Times New Roman" w:cs="Times New Roman"/>
          <w:b w:val="false"/>
          <w:b w:val="false"/>
          <w:bCs w:val="false"/>
          <w:sz w:val="24"/>
          <w:szCs w:val="24"/>
          <w:u w:val="none"/>
          <w:lang w:val="bg-BG"/>
        </w:rPr>
      </w:pPr>
      <w:r>
        <w:rPr>
          <w:rFonts w:cs="Times New Roman" w:ascii="Times New Roman" w:hAnsi="Times New Roman"/>
          <w:b w:val="false"/>
          <w:bCs w:val="false"/>
          <w:sz w:val="24"/>
          <w:szCs w:val="24"/>
          <w:u w:val="none"/>
          <w:lang w:val="bg-BG"/>
        </w:rPr>
        <w:t>Доплащане: 30 дни преди датата на на отпътуване;</w:t>
      </w:r>
    </w:p>
    <w:p>
      <w:pPr>
        <w:pStyle w:val="TextBody"/>
        <w:widowControl w:val="false"/>
        <w:rPr/>
      </w:pPr>
      <w:r>
        <w:rPr>
          <w:rFonts w:cs="Times New Roman" w:ascii="Times New Roman" w:hAnsi="Times New Roman"/>
          <w:b w:val="false"/>
          <w:bCs w:val="false"/>
          <w:sz w:val="24"/>
          <w:szCs w:val="24"/>
          <w:u w:val="none"/>
          <w:lang w:val="bg-BG"/>
        </w:rPr>
        <w:t xml:space="preserve">Минимален брой туристи за провеждане на екскурзията: </w:t>
      </w:r>
      <w:r>
        <w:rPr>
          <w:rFonts w:cs="Times New Roman" w:ascii="Times New Roman" w:hAnsi="Times New Roman"/>
          <w:b w:val="false"/>
          <w:bCs w:val="false"/>
          <w:sz w:val="24"/>
          <w:szCs w:val="24"/>
          <w:u w:val="none"/>
          <w:lang w:val="en-US"/>
        </w:rPr>
        <w:t>2</w:t>
      </w:r>
      <w:r>
        <w:rPr>
          <w:rFonts w:cs="Times New Roman" w:ascii="Times New Roman" w:hAnsi="Times New Roman"/>
          <w:b w:val="false"/>
          <w:bCs w:val="false"/>
          <w:sz w:val="24"/>
          <w:szCs w:val="24"/>
          <w:u w:val="none"/>
          <w:lang w:val="bg-BG"/>
        </w:rPr>
        <w:t>5 туристи;</w:t>
      </w:r>
    </w:p>
    <w:p>
      <w:pPr>
        <w:pStyle w:val="TextBody"/>
        <w:widowControl w:val="false"/>
        <w:rPr>
          <w:rFonts w:ascii="Times New Roman" w:hAnsi="Times New Roman" w:cs="Times New Roman"/>
          <w:b/>
          <w:b/>
          <w:bCs/>
          <w:sz w:val="24"/>
          <w:szCs w:val="24"/>
          <w:u w:val="single"/>
          <w:lang w:val="bg-BG"/>
        </w:rPr>
      </w:pPr>
      <w:r>
        <w:rPr>
          <w:rFonts w:cs="Times New Roman" w:ascii="Times New Roman" w:hAnsi="Times New Roman"/>
          <w:b/>
          <w:bCs/>
          <w:sz w:val="24"/>
          <w:szCs w:val="24"/>
          <w:u w:val="single"/>
          <w:lang w:val="bg-BG"/>
        </w:rPr>
        <w:t>Анулации и неустойки:</w:t>
      </w:r>
    </w:p>
    <w:p>
      <w:pPr>
        <w:pStyle w:val="TextBody"/>
        <w:widowControl w:val="false"/>
        <w:rPr>
          <w:rFonts w:ascii="Times New Roman" w:hAnsi="Times New Roman"/>
          <w:sz w:val="24"/>
          <w:szCs w:val="24"/>
        </w:rPr>
      </w:pPr>
      <w:r>
        <w:rPr>
          <w:rFonts w:cs="Times New Roman" w:ascii="Times New Roman" w:hAnsi="Times New Roman"/>
          <w:b w:val="false"/>
          <w:bCs w:val="false"/>
          <w:sz w:val="24"/>
          <w:szCs w:val="24"/>
          <w:u w:val="none"/>
          <w:lang w:val="bg-BG"/>
        </w:rPr>
        <w:t xml:space="preserve">- </w:t>
      </w:r>
      <w:r>
        <w:rPr>
          <w:rFonts w:cs="Times New Roman" w:ascii="Times New Roman" w:hAnsi="Times New Roman"/>
          <w:sz w:val="24"/>
          <w:szCs w:val="24"/>
        </w:rPr>
        <w:t xml:space="preserve">при повече от 90 дни преди датата на отпътуване – неустойка не се удържа; </w:t>
      </w:r>
    </w:p>
    <w:p>
      <w:pPr>
        <w:pStyle w:val="TextBody"/>
        <w:widowControl w:val="false"/>
        <w:rPr>
          <w:rFonts w:ascii="Times New Roman" w:hAnsi="Times New Roman" w:cs="Times New Roman"/>
          <w:sz w:val="24"/>
          <w:szCs w:val="24"/>
        </w:rPr>
      </w:pPr>
      <w:r>
        <w:rPr>
          <w:rFonts w:cs="Times New Roman" w:ascii="Times New Roman" w:hAnsi="Times New Roman"/>
          <w:sz w:val="24"/>
          <w:szCs w:val="24"/>
        </w:rPr>
        <w:t>- между 89-ия и 60-ия ден преди датата на заминаване се удържа размерът на внесения депозит;</w:t>
      </w:r>
    </w:p>
    <w:p>
      <w:pPr>
        <w:pStyle w:val="TextBody"/>
        <w:widowControl w:val="false"/>
        <w:rPr>
          <w:rFonts w:ascii="Times New Roman" w:hAnsi="Times New Roman" w:cs="Times New Roman"/>
          <w:sz w:val="24"/>
          <w:szCs w:val="24"/>
        </w:rPr>
      </w:pPr>
      <w:r>
        <w:rPr>
          <w:rFonts w:cs="Times New Roman" w:ascii="Times New Roman" w:hAnsi="Times New Roman"/>
          <w:sz w:val="24"/>
          <w:szCs w:val="24"/>
        </w:rPr>
        <w:t>- между 59-ия и 30-ия ден преди датата на заминаване се удържа 80% от стойността на екскурзията;</w:t>
      </w:r>
    </w:p>
    <w:p>
      <w:pPr>
        <w:pStyle w:val="TextBody"/>
        <w:widowControl w:val="false"/>
        <w:spacing w:before="280" w:after="280"/>
        <w:jc w:val="both"/>
        <w:rPr>
          <w:rFonts w:ascii="Times New Roman" w:hAnsi="Times New Roman"/>
          <w:sz w:val="24"/>
          <w:szCs w:val="24"/>
        </w:rPr>
      </w:pPr>
      <w:r>
        <w:rPr>
          <w:rFonts w:cs="Times New Roman" w:ascii="Times New Roman" w:hAnsi="Times New Roman"/>
          <w:b/>
          <w:i w:val="false"/>
          <w:iCs w:val="false"/>
          <w:color w:val="202020"/>
          <w:sz w:val="24"/>
          <w:szCs w:val="24"/>
          <w:u w:val="none"/>
          <w:lang w:val="bg-BG"/>
        </w:rPr>
        <w:t xml:space="preserve">-  </w:t>
      </w:r>
      <w:r>
        <w:rPr>
          <w:rFonts w:cs="Times New Roman" w:ascii="Times New Roman" w:hAnsi="Times New Roman"/>
          <w:b w:val="false"/>
          <w:bCs w:val="false"/>
          <w:i w:val="false"/>
          <w:iCs w:val="false"/>
          <w:color w:val="202020"/>
          <w:sz w:val="24"/>
          <w:szCs w:val="24"/>
          <w:u w:val="none"/>
          <w:lang w:val="bg-BG"/>
        </w:rPr>
        <w:t>при по-малко от 30 дни  преди датата на заминаване се удържа 100% от стойността на екскурзията.</w:t>
      </w:r>
    </w:p>
    <w:p>
      <w:pPr>
        <w:pStyle w:val="TextBody"/>
        <w:spacing w:before="280" w:after="280"/>
        <w:jc w:val="both"/>
        <w:rPr>
          <w:rFonts w:ascii="Times New Roman" w:hAnsi="Times New Roman"/>
          <w:b/>
          <w:b/>
          <w:i/>
          <w:i/>
          <w:color w:val="202020"/>
          <w:sz w:val="24"/>
          <w:szCs w:val="24"/>
          <w:u w:val="single"/>
        </w:rPr>
      </w:pPr>
      <w:r>
        <w:rPr>
          <w:rFonts w:ascii="Times New Roman" w:hAnsi="Times New Roman"/>
          <w:b/>
          <w:i/>
          <w:color w:val="202020"/>
          <w:sz w:val="24"/>
          <w:szCs w:val="24"/>
          <w:u w:val="single"/>
        </w:rPr>
        <w:t xml:space="preserve">Необходими документи: </w:t>
      </w:r>
    </w:p>
    <w:p>
      <w:pPr>
        <w:pStyle w:val="TextBody"/>
        <w:widowControl/>
        <w:numPr>
          <w:ilvl w:val="0"/>
          <w:numId w:val="1"/>
        </w:numPr>
        <w:tabs>
          <w:tab w:val="left" w:pos="707" w:leader="none"/>
        </w:tabs>
        <w:spacing w:lineRule="atLeast" w:line="240"/>
        <w:rPr>
          <w:rFonts w:ascii="Times New Roman" w:hAnsi="Times New Roman"/>
          <w:i/>
          <w:i/>
          <w:color w:val="202020"/>
          <w:sz w:val="24"/>
          <w:szCs w:val="24"/>
        </w:rPr>
      </w:pPr>
      <w:r>
        <w:rPr>
          <w:rFonts w:ascii="Times New Roman" w:hAnsi="Times New Roman"/>
          <w:i/>
          <w:color w:val="202020"/>
          <w:sz w:val="24"/>
          <w:szCs w:val="24"/>
        </w:rPr>
        <w:t xml:space="preserve">Български граждани, пътуващи по програмата е необходимо да притежават валидна лична карта или паспорт. </w:t>
      </w:r>
    </w:p>
    <w:p>
      <w:pPr>
        <w:pStyle w:val="TextBody"/>
        <w:widowControl/>
        <w:numPr>
          <w:ilvl w:val="0"/>
          <w:numId w:val="1"/>
        </w:numPr>
        <w:tabs>
          <w:tab w:val="left" w:pos="707" w:leader="none"/>
        </w:tabs>
        <w:spacing w:lineRule="atLeast" w:line="240"/>
        <w:rPr>
          <w:rFonts w:ascii="Times New Roman" w:hAnsi="Times New Roman"/>
          <w:i/>
          <w:i/>
          <w:color w:val="000000"/>
          <w:sz w:val="24"/>
          <w:szCs w:val="24"/>
          <w:lang w:val="bg-BG"/>
        </w:rPr>
      </w:pPr>
      <w:r>
        <w:rPr>
          <w:rFonts w:ascii="Times New Roman" w:hAnsi="Times New Roman"/>
          <w:i/>
          <w:color w:val="000000"/>
          <w:sz w:val="24"/>
          <w:szCs w:val="24"/>
          <w:lang w:val="bg-BG"/>
        </w:rPr>
        <w:t>За лица до 18 години, пътуващи без родител/родители – нотариално заверена декларация - оригинал и ксерокопие и копие от акта за раждане</w:t>
      </w:r>
    </w:p>
    <w:p>
      <w:pPr>
        <w:pStyle w:val="Normal"/>
        <w:rPr>
          <w:rFonts w:ascii="Times New Roman" w:hAnsi="Times New Roman"/>
          <w:sz w:val="24"/>
          <w:szCs w:val="24"/>
          <w:lang w:val="bg-BG" w:bidi="zxx"/>
        </w:rPr>
      </w:pPr>
      <w:r>
        <w:rPr>
          <w:rFonts w:ascii="Times New Roman" w:hAnsi="Times New Roman"/>
          <w:sz w:val="24"/>
          <w:szCs w:val="24"/>
          <w:lang w:val="bg-BG" w:bidi="zxx"/>
        </w:rPr>
      </w:r>
    </w:p>
    <w:p>
      <w:pPr>
        <w:pStyle w:val="Normal"/>
        <w:widowControl w:val="false"/>
        <w:jc w:val="both"/>
        <w:rPr>
          <w:rFonts w:ascii="Times New Roman" w:hAnsi="Times New Roman" w:cs="Times New Roman"/>
          <w:b w:val="false"/>
          <w:b w:val="false"/>
          <w:bCs w:val="false"/>
          <w:i w:val="false"/>
          <w:i w:val="false"/>
          <w:iCs w:val="false"/>
          <w:color w:val="000000"/>
          <w:sz w:val="24"/>
          <w:szCs w:val="24"/>
          <w:highlight w:val="white"/>
          <w:u w:val="none"/>
          <w:lang w:val="bg-BG" w:eastAsia="zxx" w:bidi="zxx"/>
        </w:rPr>
      </w:pPr>
      <w:r>
        <w:rPr>
          <w:rFonts w:cs="Times New Roman" w:ascii="Times New Roman" w:hAnsi="Times New Roman"/>
          <w:b w:val="false"/>
          <w:bCs w:val="false"/>
          <w:i w:val="false"/>
          <w:iCs w:val="false"/>
          <w:color w:val="000000"/>
          <w:sz w:val="24"/>
          <w:szCs w:val="24"/>
          <w:u w:val="none"/>
          <w:shd w:fill="FFFFFF" w:val="clear"/>
          <w:lang w:val="bg-BG" w:eastAsia="zxx" w:bidi="zxx"/>
        </w:rPr>
        <w:t>**Летищните и горивните такси подлежат на препотвърждение от авиокомпанията. В този случай цената на пътуването може да бъде променена съгласно начислените такси.</w:t>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sz w:val="24"/>
        <w:b/>
        <w:rFonts w:cs="Symbol"/>
        <w:color w:val="000000"/>
        <w:lang w:val="bg-BG"/>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color w:val="000000"/>
        <w:lang w:val="bg-BG"/>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color w:val="000000"/>
        <w:lang w:val="bg-BG"/>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0e4f"/>
    <w:pPr>
      <w:widowControl/>
      <w:bidi w:val="0"/>
      <w:spacing w:lineRule="auto" w:line="276" w:before="0" w:after="200"/>
      <w:jc w:val="left"/>
    </w:pPr>
    <w:rPr>
      <w:rFonts w:ascii="Calibri" w:hAnsi="Calibri" w:eastAsia="Calibri" w:cs=""/>
      <w:color w:val="00000A"/>
      <w:sz w:val="22"/>
      <w:szCs w:val="22"/>
      <w:lang w:val="bg-BG" w:eastAsia="en-US" w:bidi="ar-SA"/>
    </w:rPr>
  </w:style>
  <w:style w:type="character" w:styleId="DefaultParagraphFont" w:default="1">
    <w:name w:val="Default Paragraph Font"/>
    <w:uiPriority w:val="1"/>
    <w:semiHidden/>
    <w:unhideWhenUsed/>
    <w:qFormat/>
    <w:rPr/>
  </w:style>
  <w:style w:type="character" w:styleId="1" w:customStyle="1">
    <w:name w:val="Шрифт на абзаца по подразбиране1"/>
    <w:qFormat/>
    <w:rPr/>
  </w:style>
  <w:style w:type="character" w:styleId="WW8Num2z0" w:customStyle="1">
    <w:name w:val="WW8Num2z0"/>
    <w:qFormat/>
    <w:rPr>
      <w:rFonts w:ascii="Symbol" w:hAnsi="Symbol" w:cs="Symbol"/>
      <w:color w:val="000000"/>
      <w:lang w:val="bg-BG"/>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Style14">
    <w:name w:val="Акцентиран"/>
    <w:qFormat/>
    <w:rPr>
      <w:i/>
      <w:iCs/>
    </w:rPr>
  </w:style>
  <w:style w:type="character" w:styleId="Style15" w:customStyle="1">
    <w:name w:val="Силно акцентиран"/>
    <w:qFormat/>
    <w:rPr>
      <w:b/>
      <w:bCs/>
    </w:rPr>
  </w:style>
  <w:style w:type="character" w:styleId="WW8Num4z0" w:customStyle="1">
    <w:name w:val="WW8Num4z0"/>
    <w:qFormat/>
    <w:rPr>
      <w:rFonts w:ascii="Symbol" w:hAnsi="Symbol" w:cs="OpenSymbol;Arial Unicode MS"/>
    </w:rPr>
  </w:style>
  <w:style w:type="character" w:styleId="ListLabel1" w:customStyle="1">
    <w:name w:val="ListLabel 1"/>
    <w:qFormat/>
    <w:rPr>
      <w:rFonts w:ascii="Times New Roman" w:hAnsi="Times New Roman" w:cs="Symbol"/>
      <w:b/>
      <w:color w:val="000000"/>
      <w:sz w:val="24"/>
      <w:lang w:val="bg-BG"/>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color w:val="000000"/>
      <w:lang w:val="bg-BG"/>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color w:val="000000"/>
      <w:lang w:val="bg-BG"/>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Symbol"/>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ascii="Times New Roman" w:hAnsi="Times New Roman" w:cs="OpenSymbol;Arial Unicode MS"/>
      <w:sz w:val="24"/>
    </w:rPr>
  </w:style>
  <w:style w:type="character" w:styleId="ListLabel20" w:customStyle="1">
    <w:name w:val="ListLabel 20"/>
    <w:qFormat/>
    <w:rPr>
      <w:rFonts w:cs="OpenSymbol;Arial Unicode MS"/>
    </w:rPr>
  </w:style>
  <w:style w:type="character" w:styleId="ListLabel21" w:customStyle="1">
    <w:name w:val="ListLabel 21"/>
    <w:qFormat/>
    <w:rPr>
      <w:rFonts w:cs="OpenSymbol;Arial Unicode MS"/>
    </w:rPr>
  </w:style>
  <w:style w:type="character" w:styleId="ListLabel22" w:customStyle="1">
    <w:name w:val="ListLabel 22"/>
    <w:qFormat/>
    <w:rPr>
      <w:rFonts w:cs="OpenSymbol;Arial Unicode MS"/>
    </w:rPr>
  </w:style>
  <w:style w:type="character" w:styleId="ListLabel23" w:customStyle="1">
    <w:name w:val="ListLabel 23"/>
    <w:qFormat/>
    <w:rPr>
      <w:rFonts w:cs="OpenSymbol;Arial Unicode MS"/>
    </w:rPr>
  </w:style>
  <w:style w:type="character" w:styleId="ListLabel24" w:customStyle="1">
    <w:name w:val="ListLabel 24"/>
    <w:qFormat/>
    <w:rPr>
      <w:rFonts w:cs="OpenSymbol;Arial Unicode MS"/>
    </w:rPr>
  </w:style>
  <w:style w:type="character" w:styleId="ListLabel25" w:customStyle="1">
    <w:name w:val="ListLabel 25"/>
    <w:qFormat/>
    <w:rPr>
      <w:rFonts w:cs="OpenSymbol;Arial Unicode MS"/>
    </w:rPr>
  </w:style>
  <w:style w:type="character" w:styleId="ListLabel26" w:customStyle="1">
    <w:name w:val="ListLabel 26"/>
    <w:qFormat/>
    <w:rPr>
      <w:rFonts w:cs="OpenSymbol;Arial Unicode MS"/>
    </w:rPr>
  </w:style>
  <w:style w:type="character" w:styleId="ListLabel27" w:customStyle="1">
    <w:name w:val="ListLabel 27"/>
    <w:qFormat/>
    <w:rPr>
      <w:rFonts w:cs="OpenSymbol;Arial Unicode MS"/>
    </w:rPr>
  </w:style>
  <w:style w:type="character" w:styleId="ListLabel28" w:customStyle="1">
    <w:name w:val="ListLabel 28"/>
    <w:qFormat/>
    <w:rPr>
      <w:rFonts w:ascii="Times New Roman" w:hAnsi="Times New Roman" w:cs="Symbol"/>
      <w:b/>
      <w:color w:val="000000"/>
      <w:sz w:val="24"/>
      <w:lang w:val="bg-BG"/>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color w:val="000000"/>
      <w:lang w:val="bg-BG"/>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color w:val="000000"/>
      <w:lang w:val="bg-BG"/>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ascii="Times New Roman" w:hAnsi="Times New Roman" w:cs="OpenSymbol;Arial Unicode MS"/>
      <w:sz w:val="24"/>
    </w:rPr>
  </w:style>
  <w:style w:type="character" w:styleId="ListLabel47" w:customStyle="1">
    <w:name w:val="ListLabel 47"/>
    <w:qFormat/>
    <w:rPr>
      <w:rFonts w:cs="OpenSymbol;Arial Unicode MS"/>
    </w:rPr>
  </w:style>
  <w:style w:type="character" w:styleId="ListLabel48" w:customStyle="1">
    <w:name w:val="ListLabel 48"/>
    <w:qFormat/>
    <w:rPr>
      <w:rFonts w:cs="OpenSymbol;Arial Unicode MS"/>
    </w:rPr>
  </w:style>
  <w:style w:type="character" w:styleId="ListLabel49" w:customStyle="1">
    <w:name w:val="ListLabel 49"/>
    <w:qFormat/>
    <w:rPr>
      <w:rFonts w:cs="OpenSymbol;Arial Unicode MS"/>
    </w:rPr>
  </w:style>
  <w:style w:type="character" w:styleId="ListLabel50" w:customStyle="1">
    <w:name w:val="ListLabel 50"/>
    <w:qFormat/>
    <w:rPr>
      <w:rFonts w:cs="OpenSymbol;Arial Unicode MS"/>
    </w:rPr>
  </w:style>
  <w:style w:type="character" w:styleId="ListLabel51" w:customStyle="1">
    <w:name w:val="ListLabel 51"/>
    <w:qFormat/>
    <w:rPr>
      <w:rFonts w:cs="OpenSymbol;Arial Unicode MS"/>
    </w:rPr>
  </w:style>
  <w:style w:type="character" w:styleId="ListLabel52" w:customStyle="1">
    <w:name w:val="ListLabel 52"/>
    <w:qFormat/>
    <w:rPr>
      <w:rFonts w:cs="OpenSymbol;Arial Unicode MS"/>
    </w:rPr>
  </w:style>
  <w:style w:type="character" w:styleId="ListLabel53" w:customStyle="1">
    <w:name w:val="ListLabel 53"/>
    <w:qFormat/>
    <w:rPr>
      <w:rFonts w:cs="OpenSymbol;Arial Unicode MS"/>
    </w:rPr>
  </w:style>
  <w:style w:type="character" w:styleId="ListLabel54" w:customStyle="1">
    <w:name w:val="ListLabel 54"/>
    <w:qFormat/>
    <w:rPr>
      <w:rFonts w:cs="OpenSymbol;Arial Unicode MS"/>
    </w:rPr>
  </w:style>
  <w:style w:type="character" w:styleId="ListLabel55" w:customStyle="1">
    <w:name w:val="ListLabel 55"/>
    <w:qFormat/>
    <w:rPr>
      <w:rFonts w:ascii="Times New Roman" w:hAnsi="Times New Roman" w:cs="Symbol"/>
      <w:b/>
      <w:color w:val="000000"/>
      <w:sz w:val="24"/>
      <w:lang w:val="bg-BG"/>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color w:val="000000"/>
      <w:lang w:val="bg-BG"/>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color w:val="000000"/>
      <w:lang w:val="bg-BG"/>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ascii="Times New Roman" w:hAnsi="Times New Roman" w:cs="Symbol"/>
      <w:sz w:val="24"/>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ascii="Times New Roman" w:hAnsi="Times New Roman" w:cs="OpenSymbol;Arial Unicode MS"/>
      <w:sz w:val="24"/>
    </w:rPr>
  </w:style>
  <w:style w:type="character" w:styleId="ListLabel74" w:customStyle="1">
    <w:name w:val="ListLabel 74"/>
    <w:qFormat/>
    <w:rPr>
      <w:rFonts w:cs="OpenSymbol;Arial Unicode MS"/>
    </w:rPr>
  </w:style>
  <w:style w:type="character" w:styleId="ListLabel75" w:customStyle="1">
    <w:name w:val="ListLabel 75"/>
    <w:qFormat/>
    <w:rPr>
      <w:rFonts w:cs="OpenSymbol;Arial Unicode MS"/>
    </w:rPr>
  </w:style>
  <w:style w:type="character" w:styleId="ListLabel76" w:customStyle="1">
    <w:name w:val="ListLabel 76"/>
    <w:qFormat/>
    <w:rPr>
      <w:rFonts w:cs="OpenSymbol;Arial Unicode MS"/>
    </w:rPr>
  </w:style>
  <w:style w:type="character" w:styleId="ListLabel77" w:customStyle="1">
    <w:name w:val="ListLabel 77"/>
    <w:qFormat/>
    <w:rPr>
      <w:rFonts w:cs="OpenSymbol;Arial Unicode MS"/>
    </w:rPr>
  </w:style>
  <w:style w:type="character" w:styleId="ListLabel78" w:customStyle="1">
    <w:name w:val="ListLabel 78"/>
    <w:qFormat/>
    <w:rPr>
      <w:rFonts w:cs="OpenSymbol;Arial Unicode MS"/>
    </w:rPr>
  </w:style>
  <w:style w:type="character" w:styleId="ListLabel79" w:customStyle="1">
    <w:name w:val="ListLabel 79"/>
    <w:qFormat/>
    <w:rPr>
      <w:rFonts w:cs="OpenSymbol;Arial Unicode MS"/>
    </w:rPr>
  </w:style>
  <w:style w:type="character" w:styleId="ListLabel80" w:customStyle="1">
    <w:name w:val="ListLabel 80"/>
    <w:qFormat/>
    <w:rPr>
      <w:rFonts w:cs="OpenSymbol;Arial Unicode MS"/>
    </w:rPr>
  </w:style>
  <w:style w:type="character" w:styleId="ListLabel81" w:customStyle="1">
    <w:name w:val="ListLabel 81"/>
    <w:qFormat/>
    <w:rPr>
      <w:rFonts w:cs="OpenSymbol;Arial Unicode MS"/>
    </w:rPr>
  </w:style>
  <w:style w:type="character" w:styleId="ListLabel82" w:customStyle="1">
    <w:name w:val="ListLabel 82"/>
    <w:qFormat/>
    <w:rPr>
      <w:rFonts w:ascii="Times New Roman" w:hAnsi="Times New Roman" w:cs="Symbol"/>
      <w:b/>
      <w:color w:val="000000"/>
      <w:sz w:val="24"/>
      <w:lang w:val="bg-BG"/>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color w:val="000000"/>
      <w:lang w:val="bg-BG"/>
    </w:rPr>
  </w:style>
  <w:style w:type="character" w:styleId="ListLabel86" w:customStyle="1">
    <w:name w:val="ListLabel 86"/>
    <w:qFormat/>
    <w:rPr>
      <w:rFonts w:cs="Courier New"/>
    </w:rPr>
  </w:style>
  <w:style w:type="character" w:styleId="ListLabel87" w:customStyle="1">
    <w:name w:val="ListLabel 87"/>
    <w:qFormat/>
    <w:rPr>
      <w:rFonts w:cs="Wingdings"/>
    </w:rPr>
  </w:style>
  <w:style w:type="character" w:styleId="ListLabel88" w:customStyle="1">
    <w:name w:val="ListLabel 88"/>
    <w:qFormat/>
    <w:rPr>
      <w:rFonts w:cs="Symbol"/>
      <w:color w:val="000000"/>
      <w:lang w:val="bg-BG"/>
    </w:rPr>
  </w:style>
  <w:style w:type="character" w:styleId="ListLabel89" w:customStyle="1">
    <w:name w:val="ListLabel 89"/>
    <w:qFormat/>
    <w:rPr>
      <w:rFonts w:cs="Courier New"/>
    </w:rPr>
  </w:style>
  <w:style w:type="character" w:styleId="ListLabel90" w:customStyle="1">
    <w:name w:val="ListLabel 90"/>
    <w:qFormat/>
    <w:rPr>
      <w:rFonts w:cs="Wingdings"/>
    </w:rPr>
  </w:style>
  <w:style w:type="character" w:styleId="ListLabel91" w:customStyle="1">
    <w:name w:val="ListLabel 91"/>
    <w:qFormat/>
    <w:rPr>
      <w:rFonts w:ascii="Times New Roman" w:hAnsi="Times New Roman" w:cs="Symbol"/>
      <w:sz w:val="24"/>
    </w:rPr>
  </w:style>
  <w:style w:type="character" w:styleId="ListLabel92" w:customStyle="1">
    <w:name w:val="ListLabel 92"/>
    <w:qFormat/>
    <w:rPr>
      <w:rFonts w:cs="Courier New"/>
    </w:rPr>
  </w:style>
  <w:style w:type="character" w:styleId="ListLabel93" w:customStyle="1">
    <w:name w:val="ListLabel 93"/>
    <w:qFormat/>
    <w:rPr>
      <w:rFonts w:cs="Wingdings"/>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ascii="Times New Roman" w:hAnsi="Times New Roman" w:cs="OpenSymbol;Arial Unicode MS"/>
      <w:sz w:val="24"/>
    </w:rPr>
  </w:style>
  <w:style w:type="character" w:styleId="ListLabel101" w:customStyle="1">
    <w:name w:val="ListLabel 101"/>
    <w:qFormat/>
    <w:rPr>
      <w:rFonts w:cs="OpenSymbol;Arial Unicode MS"/>
    </w:rPr>
  </w:style>
  <w:style w:type="character" w:styleId="ListLabel102" w:customStyle="1">
    <w:name w:val="ListLabel 102"/>
    <w:qFormat/>
    <w:rPr>
      <w:rFonts w:cs="OpenSymbol;Arial Unicode MS"/>
    </w:rPr>
  </w:style>
  <w:style w:type="character" w:styleId="ListLabel103" w:customStyle="1">
    <w:name w:val="ListLabel 103"/>
    <w:qFormat/>
    <w:rPr>
      <w:rFonts w:cs="OpenSymbol;Arial Unicode MS"/>
    </w:rPr>
  </w:style>
  <w:style w:type="character" w:styleId="ListLabel104" w:customStyle="1">
    <w:name w:val="ListLabel 104"/>
    <w:qFormat/>
    <w:rPr>
      <w:rFonts w:cs="OpenSymbol;Arial Unicode MS"/>
    </w:rPr>
  </w:style>
  <w:style w:type="character" w:styleId="ListLabel105" w:customStyle="1">
    <w:name w:val="ListLabel 105"/>
    <w:qFormat/>
    <w:rPr>
      <w:rFonts w:cs="OpenSymbol;Arial Unicode MS"/>
    </w:rPr>
  </w:style>
  <w:style w:type="character" w:styleId="ListLabel106" w:customStyle="1">
    <w:name w:val="ListLabel 106"/>
    <w:qFormat/>
    <w:rPr>
      <w:rFonts w:cs="OpenSymbol;Arial Unicode MS"/>
    </w:rPr>
  </w:style>
  <w:style w:type="character" w:styleId="ListLabel107" w:customStyle="1">
    <w:name w:val="ListLabel 107"/>
    <w:qFormat/>
    <w:rPr>
      <w:rFonts w:cs="OpenSymbol;Arial Unicode MS"/>
    </w:rPr>
  </w:style>
  <w:style w:type="character" w:styleId="ListLabel108" w:customStyle="1">
    <w:name w:val="ListLabel 108"/>
    <w:qFormat/>
    <w:rPr>
      <w:rFonts w:cs="OpenSymbol;Arial Unicode MS"/>
    </w:rPr>
  </w:style>
  <w:style w:type="character" w:styleId="ListLabel109" w:customStyle="1">
    <w:name w:val="ListLabel 109"/>
    <w:qFormat/>
    <w:rPr>
      <w:rFonts w:ascii="Times New Roman" w:hAnsi="Times New Roman" w:cs="Symbol"/>
      <w:b/>
      <w:color w:val="000000"/>
      <w:sz w:val="24"/>
      <w:lang w:val="bg-BG"/>
    </w:rPr>
  </w:style>
  <w:style w:type="character" w:styleId="ListLabel110" w:customStyle="1">
    <w:name w:val="ListLabel 110"/>
    <w:qFormat/>
    <w:rPr>
      <w:rFonts w:cs="Courier New"/>
    </w:rPr>
  </w:style>
  <w:style w:type="character" w:styleId="ListLabel111" w:customStyle="1">
    <w:name w:val="ListLabel 111"/>
    <w:qFormat/>
    <w:rPr>
      <w:rFonts w:cs="Wingdings"/>
    </w:rPr>
  </w:style>
  <w:style w:type="character" w:styleId="ListLabel112" w:customStyle="1">
    <w:name w:val="ListLabel 112"/>
    <w:qFormat/>
    <w:rPr>
      <w:rFonts w:cs="Symbol"/>
      <w:color w:val="000000"/>
      <w:lang w:val="bg-BG"/>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rFonts w:cs="Symbol"/>
      <w:color w:val="000000"/>
      <w:lang w:val="bg-BG"/>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ascii="Times New Roman" w:hAnsi="Times New Roman" w:cs="Symbol"/>
      <w:sz w:val="24"/>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ascii="Times New Roman" w:hAnsi="Times New Roman" w:cs="OpenSymbol;Arial Unicode MS"/>
      <w:sz w:val="24"/>
    </w:rPr>
  </w:style>
  <w:style w:type="character" w:styleId="ListLabel128" w:customStyle="1">
    <w:name w:val="ListLabel 128"/>
    <w:qFormat/>
    <w:rPr>
      <w:rFonts w:cs="OpenSymbol;Arial Unicode MS"/>
    </w:rPr>
  </w:style>
  <w:style w:type="character" w:styleId="ListLabel129" w:customStyle="1">
    <w:name w:val="ListLabel 129"/>
    <w:qFormat/>
    <w:rPr>
      <w:rFonts w:cs="OpenSymbol;Arial Unicode MS"/>
    </w:rPr>
  </w:style>
  <w:style w:type="character" w:styleId="ListLabel130" w:customStyle="1">
    <w:name w:val="ListLabel 130"/>
    <w:qFormat/>
    <w:rPr>
      <w:rFonts w:cs="OpenSymbol;Arial Unicode MS"/>
    </w:rPr>
  </w:style>
  <w:style w:type="character" w:styleId="ListLabel131" w:customStyle="1">
    <w:name w:val="ListLabel 131"/>
    <w:qFormat/>
    <w:rPr>
      <w:rFonts w:cs="OpenSymbol;Arial Unicode MS"/>
    </w:rPr>
  </w:style>
  <w:style w:type="character" w:styleId="ListLabel132" w:customStyle="1">
    <w:name w:val="ListLabel 132"/>
    <w:qFormat/>
    <w:rPr>
      <w:rFonts w:cs="OpenSymbol;Arial Unicode MS"/>
    </w:rPr>
  </w:style>
  <w:style w:type="character" w:styleId="ListLabel133" w:customStyle="1">
    <w:name w:val="ListLabel 133"/>
    <w:qFormat/>
    <w:rPr>
      <w:rFonts w:cs="OpenSymbol;Arial Unicode MS"/>
    </w:rPr>
  </w:style>
  <w:style w:type="character" w:styleId="ListLabel134" w:customStyle="1">
    <w:name w:val="ListLabel 134"/>
    <w:qFormat/>
    <w:rPr>
      <w:rFonts w:cs="OpenSymbol;Arial Unicode MS"/>
    </w:rPr>
  </w:style>
  <w:style w:type="character" w:styleId="ListLabel135" w:customStyle="1">
    <w:name w:val="ListLabel 135"/>
    <w:qFormat/>
    <w:rPr>
      <w:rFonts w:cs="OpenSymbol;Arial Unicode MS"/>
    </w:rPr>
  </w:style>
  <w:style w:type="character" w:styleId="ListLabel136" w:customStyle="1">
    <w:name w:val="ListLabel 136"/>
    <w:qFormat/>
    <w:rPr>
      <w:rFonts w:ascii="Times New Roman" w:hAnsi="Times New Roman" w:cs="Symbol"/>
      <w:b/>
      <w:color w:val="000000"/>
      <w:sz w:val="24"/>
      <w:lang w:val="bg-BG"/>
    </w:rPr>
  </w:style>
  <w:style w:type="character" w:styleId="ListLabel137" w:customStyle="1">
    <w:name w:val="ListLabel 137"/>
    <w:qFormat/>
    <w:rPr>
      <w:rFonts w:cs="Courier New"/>
    </w:rPr>
  </w:style>
  <w:style w:type="character" w:styleId="ListLabel138" w:customStyle="1">
    <w:name w:val="ListLabel 138"/>
    <w:qFormat/>
    <w:rPr>
      <w:rFonts w:cs="Wingdings"/>
    </w:rPr>
  </w:style>
  <w:style w:type="character" w:styleId="ListLabel139" w:customStyle="1">
    <w:name w:val="ListLabel 139"/>
    <w:qFormat/>
    <w:rPr>
      <w:rFonts w:cs="Symbol"/>
      <w:color w:val="000000"/>
      <w:lang w:val="bg-BG"/>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rFonts w:cs="Symbol"/>
      <w:color w:val="000000"/>
      <w:lang w:val="bg-BG"/>
    </w:rPr>
  </w:style>
  <w:style w:type="character" w:styleId="ListLabel143" w:customStyle="1">
    <w:name w:val="ListLabel 143"/>
    <w:qFormat/>
    <w:rPr>
      <w:rFonts w:cs="Courier New"/>
    </w:rPr>
  </w:style>
  <w:style w:type="character" w:styleId="ListLabel144" w:customStyle="1">
    <w:name w:val="ListLabel 144"/>
    <w:qFormat/>
    <w:rPr>
      <w:rFonts w:cs="Wingdings"/>
    </w:rPr>
  </w:style>
  <w:style w:type="character" w:styleId="ListLabel145" w:customStyle="1">
    <w:name w:val="ListLabel 145"/>
    <w:qFormat/>
    <w:rPr>
      <w:rFonts w:ascii="Times New Roman" w:hAnsi="Times New Roman" w:cs="Symbol"/>
      <w:sz w:val="24"/>
    </w:rPr>
  </w:style>
  <w:style w:type="character" w:styleId="ListLabel146" w:customStyle="1">
    <w:name w:val="ListLabel 146"/>
    <w:qFormat/>
    <w:rPr>
      <w:rFonts w:cs="Courier New"/>
    </w:rPr>
  </w:style>
  <w:style w:type="character" w:styleId="ListLabel147" w:customStyle="1">
    <w:name w:val="ListLabel 147"/>
    <w:qFormat/>
    <w:rPr>
      <w:rFonts w:cs="Wingdings"/>
    </w:rPr>
  </w:style>
  <w:style w:type="character" w:styleId="ListLabel148" w:customStyle="1">
    <w:name w:val="ListLabel 148"/>
    <w:qFormat/>
    <w:rPr>
      <w:rFonts w:cs="Symbol"/>
    </w:rPr>
  </w:style>
  <w:style w:type="character" w:styleId="ListLabel149" w:customStyle="1">
    <w:name w:val="ListLabel 149"/>
    <w:qFormat/>
    <w:rPr>
      <w:rFonts w:cs="Courier New"/>
    </w:rPr>
  </w:style>
  <w:style w:type="character" w:styleId="ListLabel150" w:customStyle="1">
    <w:name w:val="ListLabel 150"/>
    <w:qFormat/>
    <w:rPr>
      <w:rFonts w:cs="Wingdings"/>
    </w:rPr>
  </w:style>
  <w:style w:type="character" w:styleId="ListLabel151" w:customStyle="1">
    <w:name w:val="ListLabel 151"/>
    <w:qFormat/>
    <w:rPr>
      <w:rFonts w:cs="Symbol"/>
    </w:rPr>
  </w:style>
  <w:style w:type="character" w:styleId="ListLabel152" w:customStyle="1">
    <w:name w:val="ListLabel 152"/>
    <w:qFormat/>
    <w:rPr>
      <w:rFonts w:cs="Courier New"/>
    </w:rPr>
  </w:style>
  <w:style w:type="character" w:styleId="ListLabel153" w:customStyle="1">
    <w:name w:val="ListLabel 153"/>
    <w:qFormat/>
    <w:rPr>
      <w:rFonts w:cs="Wingdings"/>
    </w:rPr>
  </w:style>
  <w:style w:type="character" w:styleId="ListLabel154" w:customStyle="1">
    <w:name w:val="ListLabel 154"/>
    <w:qFormat/>
    <w:rPr>
      <w:rFonts w:ascii="Times New Roman" w:hAnsi="Times New Roman" w:cs="OpenSymbol;Arial Unicode MS"/>
      <w:sz w:val="24"/>
    </w:rPr>
  </w:style>
  <w:style w:type="character" w:styleId="ListLabel155" w:customStyle="1">
    <w:name w:val="ListLabel 155"/>
    <w:qFormat/>
    <w:rPr>
      <w:rFonts w:cs="OpenSymbol;Arial Unicode MS"/>
    </w:rPr>
  </w:style>
  <w:style w:type="character" w:styleId="ListLabel156" w:customStyle="1">
    <w:name w:val="ListLabel 156"/>
    <w:qFormat/>
    <w:rPr>
      <w:rFonts w:cs="OpenSymbol;Arial Unicode MS"/>
    </w:rPr>
  </w:style>
  <w:style w:type="character" w:styleId="ListLabel157" w:customStyle="1">
    <w:name w:val="ListLabel 157"/>
    <w:qFormat/>
    <w:rPr>
      <w:rFonts w:cs="OpenSymbol;Arial Unicode MS"/>
    </w:rPr>
  </w:style>
  <w:style w:type="character" w:styleId="ListLabel158" w:customStyle="1">
    <w:name w:val="ListLabel 158"/>
    <w:qFormat/>
    <w:rPr>
      <w:rFonts w:cs="OpenSymbol;Arial Unicode MS"/>
    </w:rPr>
  </w:style>
  <w:style w:type="character" w:styleId="ListLabel159" w:customStyle="1">
    <w:name w:val="ListLabel 159"/>
    <w:qFormat/>
    <w:rPr>
      <w:rFonts w:cs="OpenSymbol;Arial Unicode MS"/>
    </w:rPr>
  </w:style>
  <w:style w:type="character" w:styleId="ListLabel160" w:customStyle="1">
    <w:name w:val="ListLabel 160"/>
    <w:qFormat/>
    <w:rPr>
      <w:rFonts w:cs="OpenSymbol;Arial Unicode MS"/>
    </w:rPr>
  </w:style>
  <w:style w:type="character" w:styleId="ListLabel161" w:customStyle="1">
    <w:name w:val="ListLabel 161"/>
    <w:qFormat/>
    <w:rPr>
      <w:rFonts w:cs="OpenSymbol;Arial Unicode MS"/>
    </w:rPr>
  </w:style>
  <w:style w:type="character" w:styleId="ListLabel162" w:customStyle="1">
    <w:name w:val="ListLabel 162"/>
    <w:qFormat/>
    <w:rPr>
      <w:rFonts w:cs="OpenSymbol;Arial Unicode MS"/>
    </w:rPr>
  </w:style>
  <w:style w:type="character" w:styleId="ListLabel163" w:customStyle="1">
    <w:name w:val="ListLabel 163"/>
    <w:qFormat/>
    <w:rPr>
      <w:rFonts w:ascii="Times New Roman" w:hAnsi="Times New Roman" w:cs="Symbol"/>
      <w:b/>
      <w:color w:val="000000"/>
      <w:sz w:val="24"/>
      <w:lang w:val="bg-BG"/>
    </w:rPr>
  </w:style>
  <w:style w:type="character" w:styleId="ListLabel164" w:customStyle="1">
    <w:name w:val="ListLabel 164"/>
    <w:qFormat/>
    <w:rPr>
      <w:rFonts w:cs="Courier New"/>
    </w:rPr>
  </w:style>
  <w:style w:type="character" w:styleId="ListLabel165" w:customStyle="1">
    <w:name w:val="ListLabel 165"/>
    <w:qFormat/>
    <w:rPr>
      <w:rFonts w:cs="Wingdings"/>
    </w:rPr>
  </w:style>
  <w:style w:type="character" w:styleId="ListLabel166" w:customStyle="1">
    <w:name w:val="ListLabel 166"/>
    <w:qFormat/>
    <w:rPr>
      <w:rFonts w:cs="Symbol"/>
      <w:color w:val="000000"/>
      <w:lang w:val="bg-BG"/>
    </w:rPr>
  </w:style>
  <w:style w:type="character" w:styleId="ListLabel167" w:customStyle="1">
    <w:name w:val="ListLabel 167"/>
    <w:qFormat/>
    <w:rPr>
      <w:rFonts w:cs="Courier New"/>
    </w:rPr>
  </w:style>
  <w:style w:type="character" w:styleId="ListLabel168" w:customStyle="1">
    <w:name w:val="ListLabel 168"/>
    <w:qFormat/>
    <w:rPr>
      <w:rFonts w:cs="Wingdings"/>
    </w:rPr>
  </w:style>
  <w:style w:type="character" w:styleId="ListLabel169" w:customStyle="1">
    <w:name w:val="ListLabel 169"/>
    <w:qFormat/>
    <w:rPr>
      <w:rFonts w:cs="Symbol"/>
      <w:color w:val="000000"/>
      <w:lang w:val="bg-BG"/>
    </w:rPr>
  </w:style>
  <w:style w:type="character" w:styleId="ListLabel170" w:customStyle="1">
    <w:name w:val="ListLabel 170"/>
    <w:qFormat/>
    <w:rPr>
      <w:rFonts w:cs="Courier New"/>
    </w:rPr>
  </w:style>
  <w:style w:type="character" w:styleId="ListLabel171" w:customStyle="1">
    <w:name w:val="ListLabel 171"/>
    <w:qFormat/>
    <w:rPr>
      <w:rFonts w:cs="Wingdings"/>
    </w:rPr>
  </w:style>
  <w:style w:type="character" w:styleId="ListLabel172" w:customStyle="1">
    <w:name w:val="ListLabel 172"/>
    <w:qFormat/>
    <w:rPr>
      <w:rFonts w:ascii="Times New Roman" w:hAnsi="Times New Roman" w:cs="Symbol"/>
      <w:sz w:val="24"/>
    </w:rPr>
  </w:style>
  <w:style w:type="character" w:styleId="ListLabel173" w:customStyle="1">
    <w:name w:val="ListLabel 173"/>
    <w:qFormat/>
    <w:rPr>
      <w:rFonts w:cs="Courier New"/>
    </w:rPr>
  </w:style>
  <w:style w:type="character" w:styleId="ListLabel174" w:customStyle="1">
    <w:name w:val="ListLabel 174"/>
    <w:qFormat/>
    <w:rPr>
      <w:rFonts w:cs="Wingdings"/>
    </w:rPr>
  </w:style>
  <w:style w:type="character" w:styleId="ListLabel175" w:customStyle="1">
    <w:name w:val="ListLabel 175"/>
    <w:qFormat/>
    <w:rPr>
      <w:rFonts w:cs="Symbol"/>
    </w:rPr>
  </w:style>
  <w:style w:type="character" w:styleId="ListLabel176" w:customStyle="1">
    <w:name w:val="ListLabel 176"/>
    <w:qFormat/>
    <w:rPr>
      <w:rFonts w:cs="Courier New"/>
    </w:rPr>
  </w:style>
  <w:style w:type="character" w:styleId="ListLabel177" w:customStyle="1">
    <w:name w:val="ListLabel 177"/>
    <w:qFormat/>
    <w:rPr>
      <w:rFonts w:cs="Wingdings"/>
    </w:rPr>
  </w:style>
  <w:style w:type="character" w:styleId="ListLabel178" w:customStyle="1">
    <w:name w:val="ListLabel 178"/>
    <w:qFormat/>
    <w:rPr>
      <w:rFonts w:cs="Symbol"/>
    </w:rPr>
  </w:style>
  <w:style w:type="character" w:styleId="ListLabel179" w:customStyle="1">
    <w:name w:val="ListLabel 179"/>
    <w:qFormat/>
    <w:rPr>
      <w:rFonts w:cs="Courier New"/>
    </w:rPr>
  </w:style>
  <w:style w:type="character" w:styleId="ListLabel180" w:customStyle="1">
    <w:name w:val="ListLabel 180"/>
    <w:qFormat/>
    <w:rPr>
      <w:rFonts w:cs="Wingdings"/>
    </w:rPr>
  </w:style>
  <w:style w:type="character" w:styleId="ListLabel181" w:customStyle="1">
    <w:name w:val="ListLabel 181"/>
    <w:qFormat/>
    <w:rPr>
      <w:rFonts w:ascii="Times New Roman" w:hAnsi="Times New Roman" w:cs="OpenSymbol;Arial Unicode MS"/>
      <w:sz w:val="24"/>
    </w:rPr>
  </w:style>
  <w:style w:type="character" w:styleId="ListLabel182" w:customStyle="1">
    <w:name w:val="ListLabel 182"/>
    <w:qFormat/>
    <w:rPr>
      <w:rFonts w:cs="OpenSymbol;Arial Unicode MS"/>
    </w:rPr>
  </w:style>
  <w:style w:type="character" w:styleId="ListLabel183" w:customStyle="1">
    <w:name w:val="ListLabel 183"/>
    <w:qFormat/>
    <w:rPr>
      <w:rFonts w:cs="OpenSymbol;Arial Unicode MS"/>
    </w:rPr>
  </w:style>
  <w:style w:type="character" w:styleId="ListLabel184" w:customStyle="1">
    <w:name w:val="ListLabel 184"/>
    <w:qFormat/>
    <w:rPr>
      <w:rFonts w:cs="OpenSymbol;Arial Unicode MS"/>
    </w:rPr>
  </w:style>
  <w:style w:type="character" w:styleId="ListLabel185" w:customStyle="1">
    <w:name w:val="ListLabel 185"/>
    <w:qFormat/>
    <w:rPr>
      <w:rFonts w:cs="OpenSymbol;Arial Unicode MS"/>
    </w:rPr>
  </w:style>
  <w:style w:type="character" w:styleId="ListLabel186" w:customStyle="1">
    <w:name w:val="ListLabel 186"/>
    <w:qFormat/>
    <w:rPr>
      <w:rFonts w:cs="OpenSymbol;Arial Unicode MS"/>
    </w:rPr>
  </w:style>
  <w:style w:type="character" w:styleId="ListLabel187" w:customStyle="1">
    <w:name w:val="ListLabel 187"/>
    <w:qFormat/>
    <w:rPr>
      <w:rFonts w:cs="OpenSymbol;Arial Unicode MS"/>
    </w:rPr>
  </w:style>
  <w:style w:type="character" w:styleId="ListLabel188" w:customStyle="1">
    <w:name w:val="ListLabel 188"/>
    <w:qFormat/>
    <w:rPr>
      <w:rFonts w:cs="OpenSymbol;Arial Unicode MS"/>
    </w:rPr>
  </w:style>
  <w:style w:type="character" w:styleId="ListLabel189" w:customStyle="1">
    <w:name w:val="ListLabel 189"/>
    <w:qFormat/>
    <w:rPr>
      <w:rFonts w:cs="OpenSymbol;Arial Unicode MS"/>
    </w:rPr>
  </w:style>
  <w:style w:type="character" w:styleId="ListLabel190" w:customStyle="1">
    <w:name w:val="ListLabel 190"/>
    <w:qFormat/>
    <w:rPr>
      <w:rFonts w:ascii="Times New Roman" w:hAnsi="Times New Roman" w:cs="Symbol"/>
      <w:b/>
      <w:color w:val="000000"/>
      <w:sz w:val="24"/>
      <w:lang w:val="bg-BG"/>
    </w:rPr>
  </w:style>
  <w:style w:type="character" w:styleId="ListLabel191" w:customStyle="1">
    <w:name w:val="ListLabel 191"/>
    <w:qFormat/>
    <w:rPr>
      <w:rFonts w:cs="Courier New"/>
    </w:rPr>
  </w:style>
  <w:style w:type="character" w:styleId="ListLabel192" w:customStyle="1">
    <w:name w:val="ListLabel 192"/>
    <w:qFormat/>
    <w:rPr>
      <w:rFonts w:cs="Wingdings"/>
    </w:rPr>
  </w:style>
  <w:style w:type="character" w:styleId="ListLabel193" w:customStyle="1">
    <w:name w:val="ListLabel 193"/>
    <w:qFormat/>
    <w:rPr>
      <w:rFonts w:cs="Symbol"/>
      <w:color w:val="000000"/>
      <w:lang w:val="bg-BG"/>
    </w:rPr>
  </w:style>
  <w:style w:type="character" w:styleId="ListLabel194" w:customStyle="1">
    <w:name w:val="ListLabel 194"/>
    <w:qFormat/>
    <w:rPr>
      <w:rFonts w:cs="Courier New"/>
    </w:rPr>
  </w:style>
  <w:style w:type="character" w:styleId="ListLabel195" w:customStyle="1">
    <w:name w:val="ListLabel 195"/>
    <w:qFormat/>
    <w:rPr>
      <w:rFonts w:cs="Wingdings"/>
    </w:rPr>
  </w:style>
  <w:style w:type="character" w:styleId="ListLabel196" w:customStyle="1">
    <w:name w:val="ListLabel 196"/>
    <w:qFormat/>
    <w:rPr>
      <w:rFonts w:cs="Symbol"/>
      <w:color w:val="000000"/>
      <w:lang w:val="bg-BG"/>
    </w:rPr>
  </w:style>
  <w:style w:type="character" w:styleId="ListLabel197" w:customStyle="1">
    <w:name w:val="ListLabel 197"/>
    <w:qFormat/>
    <w:rPr>
      <w:rFonts w:cs="Courier New"/>
    </w:rPr>
  </w:style>
  <w:style w:type="character" w:styleId="ListLabel198" w:customStyle="1">
    <w:name w:val="ListLabel 198"/>
    <w:qFormat/>
    <w:rPr>
      <w:rFonts w:cs="Wingdings"/>
    </w:rPr>
  </w:style>
  <w:style w:type="character" w:styleId="ListLabel199" w:customStyle="1">
    <w:name w:val="ListLabel 199"/>
    <w:qFormat/>
    <w:rPr>
      <w:rFonts w:ascii="Times New Roman" w:hAnsi="Times New Roman" w:cs="Symbol"/>
      <w:sz w:val="24"/>
    </w:rPr>
  </w:style>
  <w:style w:type="character" w:styleId="ListLabel200" w:customStyle="1">
    <w:name w:val="ListLabel 200"/>
    <w:qFormat/>
    <w:rPr>
      <w:rFonts w:cs="Courier New"/>
    </w:rPr>
  </w:style>
  <w:style w:type="character" w:styleId="ListLabel201" w:customStyle="1">
    <w:name w:val="ListLabel 201"/>
    <w:qFormat/>
    <w:rPr>
      <w:rFonts w:cs="Wingdings"/>
    </w:rPr>
  </w:style>
  <w:style w:type="character" w:styleId="ListLabel202" w:customStyle="1">
    <w:name w:val="ListLabel 202"/>
    <w:qFormat/>
    <w:rPr>
      <w:rFonts w:cs="Symbol"/>
    </w:rPr>
  </w:style>
  <w:style w:type="character" w:styleId="ListLabel203" w:customStyle="1">
    <w:name w:val="ListLabel 203"/>
    <w:qFormat/>
    <w:rPr>
      <w:rFonts w:cs="Courier New"/>
    </w:rPr>
  </w:style>
  <w:style w:type="character" w:styleId="ListLabel204" w:customStyle="1">
    <w:name w:val="ListLabel 204"/>
    <w:qFormat/>
    <w:rPr>
      <w:rFonts w:cs="Wingdings"/>
    </w:rPr>
  </w:style>
  <w:style w:type="character" w:styleId="ListLabel205" w:customStyle="1">
    <w:name w:val="ListLabel 205"/>
    <w:qFormat/>
    <w:rPr>
      <w:rFonts w:cs="Symbol"/>
    </w:rPr>
  </w:style>
  <w:style w:type="character" w:styleId="ListLabel206" w:customStyle="1">
    <w:name w:val="ListLabel 206"/>
    <w:qFormat/>
    <w:rPr>
      <w:rFonts w:cs="Courier New"/>
    </w:rPr>
  </w:style>
  <w:style w:type="character" w:styleId="ListLabel207" w:customStyle="1">
    <w:name w:val="ListLabel 207"/>
    <w:qFormat/>
    <w:rPr>
      <w:rFonts w:cs="Wingdings"/>
    </w:rPr>
  </w:style>
  <w:style w:type="character" w:styleId="ListLabel208" w:customStyle="1">
    <w:name w:val="ListLabel 208"/>
    <w:qFormat/>
    <w:rPr>
      <w:rFonts w:ascii="Times New Roman" w:hAnsi="Times New Roman" w:cs="OpenSymbol;Arial Unicode MS"/>
      <w:sz w:val="24"/>
    </w:rPr>
  </w:style>
  <w:style w:type="character" w:styleId="ListLabel209" w:customStyle="1">
    <w:name w:val="ListLabel 209"/>
    <w:qFormat/>
    <w:rPr>
      <w:rFonts w:cs="OpenSymbol;Arial Unicode MS"/>
    </w:rPr>
  </w:style>
  <w:style w:type="character" w:styleId="ListLabel210" w:customStyle="1">
    <w:name w:val="ListLabel 210"/>
    <w:qFormat/>
    <w:rPr>
      <w:rFonts w:cs="OpenSymbol;Arial Unicode MS"/>
    </w:rPr>
  </w:style>
  <w:style w:type="character" w:styleId="ListLabel211" w:customStyle="1">
    <w:name w:val="ListLabel 211"/>
    <w:qFormat/>
    <w:rPr>
      <w:rFonts w:cs="OpenSymbol;Arial Unicode MS"/>
    </w:rPr>
  </w:style>
  <w:style w:type="character" w:styleId="ListLabel212" w:customStyle="1">
    <w:name w:val="ListLabel 212"/>
    <w:qFormat/>
    <w:rPr>
      <w:rFonts w:cs="OpenSymbol;Arial Unicode MS"/>
    </w:rPr>
  </w:style>
  <w:style w:type="character" w:styleId="ListLabel213" w:customStyle="1">
    <w:name w:val="ListLabel 213"/>
    <w:qFormat/>
    <w:rPr>
      <w:rFonts w:cs="OpenSymbol;Arial Unicode MS"/>
    </w:rPr>
  </w:style>
  <w:style w:type="character" w:styleId="ListLabel214" w:customStyle="1">
    <w:name w:val="ListLabel 214"/>
    <w:qFormat/>
    <w:rPr>
      <w:rFonts w:cs="OpenSymbol;Arial Unicode MS"/>
    </w:rPr>
  </w:style>
  <w:style w:type="character" w:styleId="ListLabel215" w:customStyle="1">
    <w:name w:val="ListLabel 215"/>
    <w:qFormat/>
    <w:rPr>
      <w:rFonts w:cs="OpenSymbol;Arial Unicode MS"/>
    </w:rPr>
  </w:style>
  <w:style w:type="character" w:styleId="ListLabel216" w:customStyle="1">
    <w:name w:val="ListLabel 216"/>
    <w:qFormat/>
    <w:rPr>
      <w:rFonts w:cs="OpenSymbol;Arial Unicode MS"/>
    </w:rPr>
  </w:style>
  <w:style w:type="character" w:styleId="ListLabel217">
    <w:name w:val="ListLabel 217"/>
    <w:qFormat/>
    <w:rPr>
      <w:rFonts w:cs="Symbol"/>
      <w:b/>
      <w:color w:val="000000"/>
      <w:sz w:val="24"/>
      <w:lang w:val="bg-BG"/>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color w:val="000000"/>
      <w:lang w:val="bg-BG"/>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color w:val="000000"/>
      <w:lang w:val="bg-BG"/>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sz w:val="24"/>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ascii="Times New Roman" w:hAnsi="Times New Roman" w:cs="OpenSymbol;Arial Unicode MS"/>
      <w:sz w:val="24"/>
    </w:rPr>
  </w:style>
  <w:style w:type="character" w:styleId="ListLabel236">
    <w:name w:val="ListLabel 236"/>
    <w:qFormat/>
    <w:rPr>
      <w:rFonts w:cs="OpenSymbol;Arial Unicode MS"/>
    </w:rPr>
  </w:style>
  <w:style w:type="character" w:styleId="ListLabel237">
    <w:name w:val="ListLabel 237"/>
    <w:qFormat/>
    <w:rPr>
      <w:rFonts w:cs="OpenSymbol;Arial Unicode MS"/>
    </w:rPr>
  </w:style>
  <w:style w:type="character" w:styleId="ListLabel238">
    <w:name w:val="ListLabel 238"/>
    <w:qFormat/>
    <w:rPr>
      <w:rFonts w:cs="OpenSymbol;Arial Unicode MS"/>
    </w:rPr>
  </w:style>
  <w:style w:type="character" w:styleId="ListLabel239">
    <w:name w:val="ListLabel 239"/>
    <w:qFormat/>
    <w:rPr>
      <w:rFonts w:cs="OpenSymbol;Arial Unicode MS"/>
    </w:rPr>
  </w:style>
  <w:style w:type="character" w:styleId="ListLabel240">
    <w:name w:val="ListLabel 240"/>
    <w:qFormat/>
    <w:rPr>
      <w:rFonts w:cs="OpenSymbol;Arial Unicode MS"/>
    </w:rPr>
  </w:style>
  <w:style w:type="character" w:styleId="ListLabel241">
    <w:name w:val="ListLabel 241"/>
    <w:qFormat/>
    <w:rPr>
      <w:rFonts w:cs="OpenSymbol;Arial Unicode MS"/>
    </w:rPr>
  </w:style>
  <w:style w:type="character" w:styleId="ListLabel242">
    <w:name w:val="ListLabel 242"/>
    <w:qFormat/>
    <w:rPr>
      <w:rFonts w:cs="OpenSymbol;Arial Unicode MS"/>
    </w:rPr>
  </w:style>
  <w:style w:type="character" w:styleId="ListLabel243">
    <w:name w:val="ListLabel 243"/>
    <w:qFormat/>
    <w:rPr>
      <w:rFonts w:cs="OpenSymbol;Arial Unicode MS"/>
    </w:rPr>
  </w:style>
  <w:style w:type="character" w:styleId="ListLabel244">
    <w:name w:val="ListLabel 244"/>
    <w:qFormat/>
    <w:rPr>
      <w:rFonts w:cs="Symbol"/>
      <w:b/>
      <w:color w:val="000000"/>
      <w:sz w:val="24"/>
      <w:lang w:val="bg-BG"/>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color w:val="000000"/>
      <w:lang w:val="bg-BG"/>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color w:val="000000"/>
      <w:lang w:val="bg-BG"/>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sz w:val="24"/>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ascii="Times New Roman" w:hAnsi="Times New Roman" w:cs="OpenSymbol;Arial Unicode MS"/>
      <w:sz w:val="24"/>
    </w:rPr>
  </w:style>
  <w:style w:type="character" w:styleId="ListLabel263">
    <w:name w:val="ListLabel 263"/>
    <w:qFormat/>
    <w:rPr>
      <w:rFonts w:cs="OpenSymbol;Arial Unicode MS"/>
    </w:rPr>
  </w:style>
  <w:style w:type="character" w:styleId="ListLabel264">
    <w:name w:val="ListLabel 264"/>
    <w:qFormat/>
    <w:rPr>
      <w:rFonts w:cs="OpenSymbol;Arial Unicode MS"/>
    </w:rPr>
  </w:style>
  <w:style w:type="character" w:styleId="ListLabel265">
    <w:name w:val="ListLabel 265"/>
    <w:qFormat/>
    <w:rPr>
      <w:rFonts w:cs="OpenSymbol;Arial Unicode MS"/>
    </w:rPr>
  </w:style>
  <w:style w:type="character" w:styleId="ListLabel266">
    <w:name w:val="ListLabel 266"/>
    <w:qFormat/>
    <w:rPr>
      <w:rFonts w:cs="OpenSymbol;Arial Unicode MS"/>
    </w:rPr>
  </w:style>
  <w:style w:type="character" w:styleId="ListLabel267">
    <w:name w:val="ListLabel 267"/>
    <w:qFormat/>
    <w:rPr>
      <w:rFonts w:cs="OpenSymbol;Arial Unicode MS"/>
    </w:rPr>
  </w:style>
  <w:style w:type="character" w:styleId="ListLabel268">
    <w:name w:val="ListLabel 268"/>
    <w:qFormat/>
    <w:rPr>
      <w:rFonts w:cs="OpenSymbol;Arial Unicode MS"/>
    </w:rPr>
  </w:style>
  <w:style w:type="character" w:styleId="ListLabel269">
    <w:name w:val="ListLabel 269"/>
    <w:qFormat/>
    <w:rPr>
      <w:rFonts w:cs="OpenSymbol;Arial Unicode MS"/>
    </w:rPr>
  </w:style>
  <w:style w:type="character" w:styleId="ListLabel270">
    <w:name w:val="ListLabel 270"/>
    <w:qFormat/>
    <w:rPr>
      <w:rFonts w:cs="OpenSymbol;Arial Unicode MS"/>
    </w:rPr>
  </w:style>
  <w:style w:type="character" w:styleId="ListLabel271">
    <w:name w:val="ListLabel 271"/>
    <w:qFormat/>
    <w:rPr>
      <w:rFonts w:cs="Symbol"/>
      <w:b/>
      <w:color w:val="000000"/>
      <w:sz w:val="24"/>
      <w:lang w:val="bg-BG"/>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color w:val="000000"/>
      <w:lang w:val="bg-BG"/>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color w:val="000000"/>
      <w:lang w:val="bg-BG"/>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sz w:val="24"/>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tyle16">
    <w:name w:val="Заглавие"/>
    <w:basedOn w:val="Normal"/>
    <w:qFormat/>
    <w:pPr>
      <w:keepNext/>
      <w:spacing w:before="240" w:after="120"/>
    </w:pPr>
    <w:rPr>
      <w:rFonts w:ascii="Liberation Sans" w:hAnsi="Liberation Sans" w:eastAsia="Microsoft YaHei" w:cs="Mangal"/>
      <w:sz w:val="28"/>
      <w:szCs w:val="28"/>
    </w:rPr>
  </w:style>
  <w:style w:type="paragraph" w:styleId="Style17" w:customStyle="1">
    <w:name w:val="Указател"/>
    <w:basedOn w:val="Normal"/>
    <w:qFormat/>
    <w:pPr>
      <w:suppressLineNumbers/>
    </w:pPr>
    <w:rPr>
      <w:rFonts w:cs="Mangal"/>
    </w:rPr>
  </w:style>
  <w:style w:type="paragraph" w:styleId="Title">
    <w:name w:val="Title"/>
    <w:basedOn w:val="Normal"/>
    <w:qFormat/>
    <w:pPr>
      <w:keepNext/>
      <w:spacing w:before="240" w:after="120"/>
    </w:pPr>
    <w:rPr>
      <w:rFonts w:ascii="Liberation Sans" w:hAnsi="Liberation Sans" w:eastAsia="Microsoft YaHei" w:cs="Mangal"/>
      <w:sz w:val="28"/>
      <w:szCs w:val="28"/>
    </w:rPr>
  </w:style>
  <w:style w:type="paragraph" w:styleId="Caption1">
    <w:name w:val="caption"/>
    <w:basedOn w:val="Normal"/>
    <w:qFormat/>
    <w:pPr>
      <w:suppressLineNumbers/>
      <w:spacing w:before="120" w:after="120"/>
    </w:pPr>
    <w:rPr>
      <w:rFonts w:cs="Mangal"/>
      <w:i/>
      <w:iCs/>
      <w:sz w:val="24"/>
      <w:szCs w:val="24"/>
    </w:rPr>
  </w:style>
  <w:style w:type="paragraph" w:styleId="Style18" w:customStyle="1">
    <w:name w:val="Таблица - съдържание"/>
    <w:basedOn w:val="Normal"/>
    <w:qFormat/>
    <w:pPr>
      <w:suppressLineNumbers/>
    </w:pPr>
    <w:rPr>
      <w:rFonts w:ascii="Times New Roman" w:hAnsi="Times New Roman" w:eastAsia="Times New Roman" w:cs="Times New Roman"/>
    </w:rPr>
  </w:style>
  <w:style w:type="paragraph" w:styleId="NormalWeb">
    <w:name w:val="Normal (Web)"/>
    <w:basedOn w:val="Normal"/>
    <w:qFormat/>
    <w:pPr>
      <w:spacing w:before="280" w:after="280"/>
    </w:pPr>
    <w:rPr>
      <w:rFonts w:ascii="Times New Roman" w:hAnsi="Times New Roman" w:eastAsia="Times New Roman" w:cs="Times New Roman"/>
    </w:rPr>
  </w:style>
  <w:style w:type="paragraph" w:styleId="Style19">
    <w:name w:val="Предварително форматиран текст"/>
    <w:basedOn w:val="Normal"/>
    <w:qFormat/>
    <w:pPr/>
    <w:rPr/>
  </w:style>
  <w:style w:type="numbering" w:styleId="NoList" w:default="1">
    <w:name w:val="No List"/>
    <w:uiPriority w:val="99"/>
    <w:semiHidden/>
    <w:unhideWhenUsed/>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Application>LibreOffice/5.2.3.3$Windows_X86_64 LibreOffice_project/d54a8868f08a7b39642414cf2c8ef2f228f780cf</Application>
  <Pages>5</Pages>
  <Words>1404</Words>
  <Characters>7869</Characters>
  <CharactersWithSpaces>9269</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2017-11-05T19:31:00Z</dcterms:created>
  <dc:creator>PC</dc:creator>
  <dc:description/>
  <dc:language>bg-BG</dc:language>
  <cp:lastModifiedBy/>
  <dcterms:modified xsi:type="dcterms:W3CDTF">2017-12-13T14:24:16Z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