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</w:tblGrid>
      <w:tr w:rsidR="006A5726" w:rsidRPr="006A5726" w:rsidTr="006A57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5726" w:rsidRPr="006A5726" w:rsidRDefault="006A5726" w:rsidP="006A57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color w:val="A46B50"/>
                <w:kern w:val="36"/>
                <w:sz w:val="27"/>
                <w:szCs w:val="27"/>
                <w:lang w:eastAsia="bg-BG"/>
              </w:rPr>
            </w:pPr>
            <w:r w:rsidRPr="006A5726">
              <w:rPr>
                <w:rFonts w:ascii="Arial" w:eastAsia="Times New Roman" w:hAnsi="Arial" w:cs="Arial"/>
                <w:color w:val="A46B50"/>
                <w:kern w:val="36"/>
                <w:sz w:val="27"/>
                <w:szCs w:val="27"/>
                <w:lang w:eastAsia="bg-BG"/>
              </w:rPr>
              <w:t>Екскурзия Лондон и Париж със самолет</w:t>
            </w:r>
          </w:p>
          <w:p w:rsidR="006A5726" w:rsidRPr="006A5726" w:rsidRDefault="006A5726" w:rsidP="006A572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7A8086"/>
                <w:sz w:val="17"/>
                <w:szCs w:val="17"/>
                <w:lang w:eastAsia="bg-BG"/>
              </w:rPr>
            </w:pPr>
            <w:r w:rsidRPr="006A5726">
              <w:rPr>
                <w:rFonts w:ascii="Tahoma" w:eastAsia="Times New Roman" w:hAnsi="Tahoma" w:cs="Tahoma"/>
                <w:b/>
                <w:bCs/>
                <w:color w:val="7A8086"/>
                <w:sz w:val="17"/>
                <w:szCs w:val="17"/>
                <w:lang w:eastAsia="bg-BG"/>
              </w:rPr>
              <w:t>София, Лондон, Париж, София</w:t>
            </w:r>
          </w:p>
          <w:tbl>
            <w:tblPr>
              <w:tblW w:w="0" w:type="auto"/>
              <w:jc w:val="center"/>
              <w:tblCellSpacing w:w="37" w:type="dxa"/>
              <w:shd w:val="clear" w:color="auto" w:fill="E8E0D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8"/>
            </w:tblGrid>
            <w:tr w:rsidR="006A5726" w:rsidRPr="006A5726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E8E0D0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1994A7EA" wp14:editId="76FA7879">
                        <wp:extent cx="4762500" cy="3571875"/>
                        <wp:effectExtent l="0" t="0" r="0" b="9525"/>
                        <wp:docPr id="1" name="Картина 1" descr="Екскурзия Екскурзия Лондон и Париж със самолет  - Самолетна екскурзия 9 дни / 8 нощув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Екскурзия Екскурзия Лондон и Париж със самолет  - Самолетна екскурзия 9 дни / 8 нощув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571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E8E0D0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2010"/>
                    <w:gridCol w:w="2010"/>
                    <w:gridCol w:w="2025"/>
                  </w:tblGrid>
                  <w:tr w:rsidR="006A5726" w:rsidRPr="006A572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5726" w:rsidRPr="006A5726" w:rsidRDefault="006A5726" w:rsidP="006A572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bg-BG"/>
                          </w:rPr>
                        </w:pPr>
                        <w:r w:rsidRPr="006A5726"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17"/>
                            <w:szCs w:val="17"/>
                            <w:lang w:eastAsia="bg-BG"/>
                          </w:rPr>
                          <w:drawing>
                            <wp:inline distT="0" distB="0" distL="0" distR="0" wp14:anchorId="0F29A11A" wp14:editId="4B161612">
                              <wp:extent cx="1238250" cy="723900"/>
                              <wp:effectExtent l="0" t="0" r="0" b="0"/>
                              <wp:docPr id="2" name="Картина 2" descr="Изглед към гр. Париж - един от най-романтичните градове в света.">
                                <a:hlinkClick xmlns:a="http://schemas.openxmlformats.org/drawingml/2006/main" r:id="rId7" tooltip="&quot;Изглед към гр. Париж - един от най-романтичните градове в света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Изглед към гр. Париж - един от най-романтичните градове в света.">
                                        <a:hlinkClick r:id="rId7" tooltip="&quot;Изглед към гр. Париж - един от най-романтичните градове в света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5726" w:rsidRPr="006A5726" w:rsidRDefault="006A5726" w:rsidP="006A572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bg-BG"/>
                          </w:rPr>
                        </w:pPr>
                        <w:r w:rsidRPr="006A5726"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17"/>
                            <w:szCs w:val="17"/>
                            <w:lang w:eastAsia="bg-BG"/>
                          </w:rPr>
                          <w:drawing>
                            <wp:inline distT="0" distB="0" distL="0" distR="0" wp14:anchorId="6BFBD2F3" wp14:editId="36D8A99E">
                              <wp:extent cx="1238250" cy="838200"/>
                              <wp:effectExtent l="0" t="0" r="0" b="0"/>
                              <wp:docPr id="3" name="Картина 3" descr="Имате възможност за посещение на двореца &quot;Версай&quot; по програмата Париж- Лондон.">
                                <a:hlinkClick xmlns:a="http://schemas.openxmlformats.org/drawingml/2006/main" r:id="rId9" tooltip="&quot;Имате възможност за посещение на двореца &quot;Версай&quot; по програмата Париж- Лондон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Имате възможност за посещение на двореца &quot;Версай&quot; по програмата Париж- Лондон.">
                                        <a:hlinkClick r:id="rId9" tooltip="&quot;Имате възможност за посещение на двореца &quot;Версай&quot; по програмата Париж- Лондон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5726" w:rsidRPr="006A5726" w:rsidRDefault="006A5726" w:rsidP="006A572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bg-BG"/>
                          </w:rPr>
                        </w:pPr>
                        <w:r w:rsidRPr="006A5726"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17"/>
                            <w:szCs w:val="17"/>
                            <w:lang w:eastAsia="bg-BG"/>
                          </w:rPr>
                          <w:drawing>
                            <wp:inline distT="0" distB="0" distL="0" distR="0" wp14:anchorId="7C21D60A" wp14:editId="391D4062">
                              <wp:extent cx="1238250" cy="809625"/>
                              <wp:effectExtent l="0" t="0" r="0" b="9525"/>
                              <wp:docPr id="4" name="Картина 4" descr="Град Лондон - най-големият метрополис в Европейския съюз.">
                                <a:hlinkClick xmlns:a="http://schemas.openxmlformats.org/drawingml/2006/main" r:id="rId11" tooltip="&quot;Град Лондон - най-големият метрополис в Европейския съюз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Град Лондон - най-големият метрополис в Европейския съюз.">
                                        <a:hlinkClick r:id="rId11" tooltip="&quot;Град Лондон - най-големият метрополис в Европейския съюз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5726" w:rsidRPr="006A5726" w:rsidRDefault="006A5726" w:rsidP="006A572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bg-BG"/>
                          </w:rPr>
                        </w:pPr>
                        <w:r w:rsidRPr="006A5726"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17"/>
                            <w:szCs w:val="17"/>
                            <w:lang w:eastAsia="bg-BG"/>
                          </w:rPr>
                          <w:drawing>
                            <wp:inline distT="0" distB="0" distL="0" distR="0" wp14:anchorId="3A78080D" wp14:editId="29D9B191">
                              <wp:extent cx="1238250" cy="809625"/>
                              <wp:effectExtent l="0" t="0" r="0" b="9525"/>
                              <wp:docPr id="5" name="Картина 5" descr="Гледка към &quot;Биг Бен&quot; и река Темза в Лондон.">
                                <a:hlinkClick xmlns:a="http://schemas.openxmlformats.org/drawingml/2006/main" r:id="rId13" tooltip="&quot;Гледка към &quot;Биг Бен&quot; и река Темза в Лондон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Гледка към &quot;Биг Бен&quot; и река Темза в Лондон.">
                                        <a:hlinkClick r:id="rId13" tooltip="&quot;Гледка към &quot;Биг Бен&quot; и река Темза в Лондон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A5726" w:rsidRPr="006A5726" w:rsidRDefault="006A5726" w:rsidP="006A5726">
            <w:pPr>
              <w:spacing w:before="100" w:beforeAutospacing="1" w:after="100" w:afterAutospacing="1" w:line="165" w:lineRule="atLeast"/>
              <w:outlineLvl w:val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6A572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Самолетна екскурзия 9 дни / 8 нощувки</w:t>
            </w:r>
          </w:p>
        </w:tc>
      </w:tr>
    </w:tbl>
    <w:p w:rsidR="006A5726" w:rsidRPr="006A5726" w:rsidRDefault="006A5726" w:rsidP="006A57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5726" w:rsidRPr="006A5726" w:rsidTr="006A57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5726" w:rsidRPr="006A5726" w:rsidRDefault="006A5726" w:rsidP="006A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W w:w="6750" w:type="dxa"/>
              <w:jc w:val="center"/>
              <w:tblCellSpacing w:w="1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797"/>
              <w:gridCol w:w="1658"/>
              <w:gridCol w:w="1440"/>
            </w:tblGrid>
            <w:tr w:rsidR="006A5726" w:rsidRPr="006A5726" w:rsidTr="006A572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  <w:t>ДАТА НА ТРЪГВАНЕ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  <w:t>ДАТА НА ВРЪЩАНЕ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  <w:t>ЦЕНА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2444D"/>
                      <w:sz w:val="18"/>
                      <w:szCs w:val="18"/>
                      <w:lang w:eastAsia="bg-BG"/>
                    </w:rPr>
                    <w:t>РЕЗЕРВИРАЙ</w:t>
                  </w:r>
                </w:p>
              </w:tc>
            </w:tr>
            <w:tr w:rsidR="006A5726" w:rsidRPr="006A5726" w:rsidTr="006A572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EEEEE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08.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08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.2015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16.08.2015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739.00 € /1445 лв. 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noProof/>
                      <w:color w:val="0000FF"/>
                      <w:sz w:val="17"/>
                      <w:szCs w:val="17"/>
                      <w:lang w:eastAsia="bg-BG"/>
                    </w:rPr>
                    <w:drawing>
                      <wp:inline distT="0" distB="0" distL="0" distR="0" wp14:anchorId="04680446" wp14:editId="2578A4D5">
                        <wp:extent cx="866775" cy="209550"/>
                        <wp:effectExtent l="0" t="0" r="9525" b="0"/>
                        <wp:docPr id="6" name="Картина 6" descr="Резервирай за 08.08.2015 »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Резервирай за 08.08.2015 »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5726" w:rsidRPr="006A5726" w:rsidRDefault="006A5726" w:rsidP="006A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5726" w:rsidRPr="006A5726" w:rsidRDefault="006A5726" w:rsidP="006A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726">
              <w:rPr>
                <w:rFonts w:ascii="Verdana" w:eastAsia="Times New Roman" w:hAnsi="Verdana" w:cs="Times New Roman"/>
                <w:b/>
                <w:bCs/>
                <w:color w:val="0066FF"/>
                <w:sz w:val="20"/>
                <w:szCs w:val="20"/>
                <w:lang w:eastAsia="bg-BG"/>
              </w:rPr>
              <w:t>Обади се сега на телефон 02 / 981 96 48 !!!</w:t>
            </w:r>
          </w:p>
          <w:p w:rsidR="006A5726" w:rsidRPr="006A5726" w:rsidRDefault="006A5726" w:rsidP="006A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A5726" w:rsidRPr="006A5726" w:rsidRDefault="006A5726" w:rsidP="006A57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5726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цена: от </w:t>
      </w:r>
      <w:r w:rsidRPr="006A5726">
        <w:rPr>
          <w:rFonts w:ascii="Arial" w:eastAsia="Times New Roman" w:hAnsi="Arial" w:cs="Arial"/>
          <w:b/>
          <w:bCs/>
          <w:color w:val="B2444D"/>
          <w:sz w:val="18"/>
          <w:szCs w:val="18"/>
          <w:lang w:eastAsia="bg-BG"/>
        </w:rPr>
        <w:t>739.00 € / 1445 лв.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5726" w:rsidRPr="006A5726" w:rsidTr="006A57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1 ДЕН / София - Лондон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  Излитане от летище София в 06:30. Кацане в Лондон - 07:55. Трансфер и настаняване в хотел. Свободно време или по желание -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Уиндзор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най-старият замък във Великобритания, най - големият обитаван и в момента замък. Тук самата английска кралица Елизабет II е прекарала голяма част от своето детство. (15 евро за транспорт)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>  Нощувка в Лондон.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630FEC5B" wp14:editId="74EB4615">
                        <wp:extent cx="9525" cy="57150"/>
                        <wp:effectExtent l="0" t="0" r="0" b="0"/>
                        <wp:docPr id="7" name="Картина 7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2 ДЕН / Лондон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  Закуска. Посещение на историческото сърце на града – Кулата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Тауър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със съкровищата на Английската корона 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lastRenderedPageBreak/>
                    <w:t xml:space="preserve">(20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) и разходка с кораб по Темза до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Уестминстър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/10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/. Продължаваме с пешеходна разходка през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Уестминстърското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Абатство, където се извършват коронациите и сватбите на кралското семейство (18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), градините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Сейнт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Джордж, двореца на Уелския принц „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Сейнт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Джордж,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Бъкингамския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Дворец. Възможност за посещение на символа на града – Окото на Лондон (20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) – влизането в обектите е пожелание на групата 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>  Нощувка в Лондон.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lastRenderedPageBreak/>
                    <w:drawing>
                      <wp:inline distT="0" distB="0" distL="0" distR="0" wp14:anchorId="6DC3869F" wp14:editId="0110650C">
                        <wp:extent cx="9525" cy="57150"/>
                        <wp:effectExtent l="0" t="0" r="0" b="0"/>
                        <wp:docPr id="8" name="Картина 8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 xml:space="preserve">3 ДЕН / </w:t>
                  </w:r>
                  <w:proofErr w:type="spellStart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Уоруик</w:t>
                  </w:r>
                  <w:proofErr w:type="spellEnd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 xml:space="preserve"> – </w:t>
                  </w:r>
                  <w:proofErr w:type="spellStart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Стратфорд</w:t>
                  </w:r>
                  <w:proofErr w:type="spellEnd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 xml:space="preserve"> на </w:t>
                  </w:r>
                  <w:proofErr w:type="spellStart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Ейвън</w:t>
                  </w:r>
                  <w:proofErr w:type="spellEnd"/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 xml:space="preserve"> – Оксфорд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Свободно време в Лондон или по желание еднодневна екскурзия до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Уоруик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,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Стратфорд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Ейвън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Оксфорд (35 Eur). Екскурзията започва с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Уоруик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– най-големият средновековен замък в Англия, с множество восъчни фигури и отлично запазена средновековна атмосфера (25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). Продължаваме с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Стратфорд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Ейвън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града на Шекспир. Посещение на родната къща на поета (13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) и църквата „Света Троица” с гроба на поета (7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). След обяд – посещение на Оксфорд – един от най-старите университетски центрове. Връщане в хотела. Нощувка в Лондон.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5D19A254" wp14:editId="3B755751">
                        <wp:extent cx="9525" cy="57150"/>
                        <wp:effectExtent l="0" t="0" r="0" b="0"/>
                        <wp:docPr id="9" name="Картина 9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4 ДЕН / Лондон - ферибот - Париж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Туристическа програма в Лондон. Туристическа програма: автобусна обиколка на Лондонското сити – историята се преплита с небостъргачите, приютили офисите на стотици финансови и застрахователни компании. Да стъпим в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Хайд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парк на известния „Ъгъл на ораторите”, Арката на Уелингтън , Трафалгар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скуеър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– вечно туптящото сърце на града, Националната художествена галерия, Часовникова кула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Биг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Бен, Парламента.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>  Ферибот Лондон - Париж. Нощувка в Париж.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66993791" wp14:editId="1EF59AAE">
                        <wp:extent cx="9525" cy="57150"/>
                        <wp:effectExtent l="0" t="0" r="0" b="0"/>
                        <wp:docPr id="10" name="Картина 10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5 ДЕН / Париж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>  Денят е посветен на величествените забележителности на френската столица.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Автобусно-пешеходна програма: Големите булеварди, Площада на Нацията, Площад Република, Опера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Гарние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Мадлената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Площад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Конкорд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Моста на Александър III, градините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Тюйлери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Лувъра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Шанз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Елизе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Триумфалната Арка, Площад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Трокадеро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Коплекса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на Инвалидите, Латинския Квартал и Пантеона, остров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Сите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Нотр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Дам. Следобедна разходка сред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артистократичното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сърце на Париж –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Монмартър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където са рисували гениалните си картини – Пабло Пикасо, Ван Гог, Салвадор Дали. Всяко камъче на хълма е история, зов, съдба и прозрение на художниците, потърсили призвание за изкуството си. Едва ли само виното внася дъха на предизвикателството. И сякаш всеки опитал вкуса му, обрича себе си завинаги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Монмартър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Париж.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Вечерта по желание-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Moulin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Rouge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– с предварителна резервация. Това кабаре е символ на стил и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сексапил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едновременно. В "Червената мелница" са пели звезди като Жан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Габен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Едит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Пиаф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Морис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Шавалие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Ив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Монтан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Франк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Синатра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Лайза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Минели. Нощувка в Париж.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417E54C7" wp14:editId="26872651">
                        <wp:extent cx="9525" cy="57150"/>
                        <wp:effectExtent l="0" t="0" r="0" b="0"/>
                        <wp:docPr id="11" name="Картина 11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6 ДЕН / Париж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Айфеловата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кула, безспорен символ на Париж (15 евро). Разходка с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корабче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по Сена - наричана “люлката на Париж”, под звуците на популярни френски шансони (12 евро). Следобед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Лувъра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(12 евро), съхранил съкровищница от шедьоври. Свободно време за разходка по вълнуващото световно известно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авеню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“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Шанз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Елизе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”. По желание -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разхпдка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Paris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by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night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панорамна обиколка с автобус (10 евро) Нощувка в Париж.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54DC2144" wp14:editId="1BF5224B">
                        <wp:extent cx="9525" cy="57150"/>
                        <wp:effectExtent l="0" t="0" r="0" b="0"/>
                        <wp:docPr id="12" name="Картина 12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7 ДЕН / Париж - Версай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Свободно време до обяд или по желание екскурзия до Двореца Версай. Дворец, сбъднал мечтите на Краля Слънце Луи XIV за пищност и елегантност посещение на Версай (15 евро на турист за транспорт до Версай + входни такси 15 евро). След обяд продължаваме с туристическа програма в Париж – посещение на остров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Сите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с катедралата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Нотр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Дам, Съдебната палата и параклиса „Сент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Шапел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”,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Консиержьори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Кметството на Париж. Следобедна разходка сред артистичното сърце на Париж –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Монмартър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където са рисували гениалните си картини – Пабло Пикасо, Ван Гог , Салвадор Дали… Кафетата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Монмартър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са като колаж от цветни картини - всяко със свой колорит, със свой дъх, със своя съдба. Незабравимата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Едит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Пиаф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пее: “Под небето на Париж чак до вечерта пеят химна на един влюбен народ в своя стар “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Сите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”.... Нощувка в Париж.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77B9D65A" wp14:editId="2F6140AB">
                        <wp:extent cx="9525" cy="57150"/>
                        <wp:effectExtent l="0" t="0" r="0" b="0"/>
                        <wp:docPr id="13" name="Картина 13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8 ДЕН / Париж - замъците по Лоара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Свободно време или по желание - допълнителна екскурзия до замъците по Лоара. По Долината на р. Лоара все още се носят легенди за любов и интриги, за пищни балове и ловни трофеи. Посещение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Шамбор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(10 EUR) – определян като екстравагантен замък и шедьовър на френската ренесансова архитектура. Тръгнете по спираловидната стълба, която ни отвежда до кралските апартаменти на Франсоа I и Луи XIV, интерес представляват огромните гоблени с ловни сцени и автентичните мебели. Разглеждане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Блоа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/7 EUR/ - сцена на кралския живот във Франция от Средновековието до 17 век; резиденция на Франсоа I и Хенри III, на Катерина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Медичи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Кралица Марго.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lastRenderedPageBreak/>
                    <w:t>  Връщане в хотела. Нощувка в Париж.</w:t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A57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lastRenderedPageBreak/>
                    <w:drawing>
                      <wp:inline distT="0" distB="0" distL="0" distR="0" wp14:anchorId="1E1A4F8F" wp14:editId="726AD4DF">
                        <wp:extent cx="9525" cy="57150"/>
                        <wp:effectExtent l="0" t="0" r="0" b="0"/>
                        <wp:docPr id="14" name="Картина 14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726" w:rsidRPr="006A572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</w:p>
                <w:p w:rsidR="006A5726" w:rsidRPr="006A5726" w:rsidRDefault="006A5726" w:rsidP="006A5726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</w:pPr>
                  <w:r w:rsidRPr="006A5726">
                    <w:rPr>
                      <w:rFonts w:ascii="Arial" w:eastAsia="Times New Roman" w:hAnsi="Arial" w:cs="Arial"/>
                      <w:b/>
                      <w:bCs/>
                      <w:color w:val="BDA482"/>
                      <w:sz w:val="18"/>
                      <w:szCs w:val="18"/>
                      <w:lang w:eastAsia="bg-BG"/>
                    </w:rPr>
                    <w:t>9 ДЕН / Париж – София</w:t>
                  </w:r>
                </w:p>
                <w:p w:rsidR="006A5726" w:rsidRPr="006A5726" w:rsidRDefault="006A5726" w:rsidP="006A572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  Закуска.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 xml:space="preserve">  По желание - разходка до новия град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Дефанс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- 21 район на Париж.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Дефанс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е едно модерно предградие на Париж, наричан още "деловият център на Европа". (10 евро) </w:t>
                  </w: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br/>
                    <w:t>  Трансфер до летището. Полет Париж - София. Кацане в София в 23:55.</w:t>
                  </w:r>
                </w:p>
              </w:tc>
            </w:tr>
          </w:tbl>
          <w:p w:rsidR="006A5726" w:rsidRPr="006A5726" w:rsidRDefault="006A5726" w:rsidP="006A5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A5726">
              <w:rPr>
                <w:rFonts w:ascii="Tahoma" w:eastAsia="Times New Roman" w:hAnsi="Tahoma" w:cs="Tahoma"/>
                <w:b/>
                <w:bCs/>
                <w:color w:val="2D2010"/>
                <w:sz w:val="20"/>
                <w:szCs w:val="20"/>
                <w:lang w:eastAsia="bg-BG"/>
              </w:rPr>
              <w:br/>
            </w: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6A5726" w:rsidRPr="006A5726">
              <w:trPr>
                <w:trHeight w:val="450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ТРЪГВАНЕ ОТ:</w:t>
                  </w:r>
                </w:p>
              </w:tc>
            </w:tr>
            <w:tr w:rsidR="006A5726" w:rsidRPr="006A57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Град: София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Място: Летище София: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Полет: София - Париж</w:t>
                  </w:r>
                </w:p>
              </w:tc>
            </w:tr>
          </w:tbl>
          <w:p w:rsidR="006A5726" w:rsidRPr="006A5726" w:rsidRDefault="006A5726" w:rsidP="006A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6A5726" w:rsidRPr="006A5726">
              <w:trPr>
                <w:trHeight w:val="450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ЦЕНАТА ВКЛЮЧВА:</w:t>
                  </w:r>
                </w:p>
              </w:tc>
            </w:tr>
            <w:tr w:rsidR="006A5726" w:rsidRPr="006A57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8 нощувки със закуски – пет в Париж и три в Лондон 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Самолетен билет София – Париж и Лондон - София или София – Лондон и Париж - София;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Трансфери летище – хотел – летище;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Ферибот Лондон - Париж 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Екскурзовод на български език.</w:t>
                  </w:r>
                </w:p>
              </w:tc>
            </w:tr>
          </w:tbl>
          <w:p w:rsidR="006A5726" w:rsidRPr="006A5726" w:rsidRDefault="006A5726" w:rsidP="006A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tbl>
            <w:tblPr>
              <w:tblW w:w="7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6A5726" w:rsidRPr="006A5726">
              <w:trPr>
                <w:trHeight w:val="450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726" w:rsidRPr="006A5726" w:rsidRDefault="006A5726" w:rsidP="006A5726">
                  <w:pPr>
                    <w:spacing w:after="0" w:line="255" w:lineRule="atLeast"/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b/>
                      <w:bCs/>
                      <w:color w:val="9C7B53"/>
                      <w:sz w:val="17"/>
                      <w:szCs w:val="17"/>
                      <w:lang w:eastAsia="bg-BG"/>
                    </w:rPr>
                    <w:t>ЦЕНАТА НЕ ВКЛЮЧВА:</w:t>
                  </w:r>
                </w:p>
              </w:tc>
            </w:tr>
            <w:tr w:rsidR="006A5726" w:rsidRPr="006A57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Настаняване в единична стая - 199 евро;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Летищни такси – 147 евро (цената подлежи на потвърждение);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Медицинска застраховка към "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Булстрад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Живот" за 9 дни с покритие 5000 евро за лица на възраст до 65 г. - 8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лв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за лица на възраст от 65 г до 70 г - 12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лв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за лица на възраст от 70 г. до 75 г. – 16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лв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за лица на възраст от 75 г. до 80 г. – 23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лв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Входни такси за посещаваните туристически обекти;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Еднодневна екскурзия по желание до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Уоруик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,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Стратфорд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на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Ейвън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и Оксфорд (при минимум 20 туристи) – 35 евро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По желание екскурзия до Двореца Версай при минимум 20 туристи - 15 евро на турист за транспорт до Версай + входни такси 15 евро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По желание - допълнителна екскурзия "Замъците по Лоара" - 35 евро на турист при минимум 15 души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Кулата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Тауер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- 22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Уестменстърското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абатство - 18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„Окото“ на Лондон - 29.50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Замъкът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Уоруик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- 24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възрастен /16.80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пенсионер/ 19.80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дете;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Родното място на Шекспир - 15.90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 възрастен;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 xml:space="preserve">Входна такса за Църквата „Св. Троица“ - 2 </w:t>
                  </w:r>
                  <w:proofErr w:type="spellStart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паунда</w:t>
                  </w:r>
                  <w:proofErr w:type="spellEnd"/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;</w:t>
                  </w:r>
                </w:p>
                <w:p w:rsidR="006A5726" w:rsidRPr="006A5726" w:rsidRDefault="006A5726" w:rsidP="006A572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</w:pPr>
                  <w:r w:rsidRPr="006A5726">
                    <w:rPr>
                      <w:rFonts w:ascii="Tahoma" w:eastAsia="Times New Roman" w:hAnsi="Tahoma" w:cs="Tahoma"/>
                      <w:color w:val="2D2010"/>
                      <w:sz w:val="17"/>
                      <w:szCs w:val="17"/>
                      <w:lang w:eastAsia="bg-BG"/>
                    </w:rPr>
                    <w:t>По желание – застраховка „ Отмяна на пътуването“</w:t>
                  </w:r>
                </w:p>
              </w:tc>
            </w:tr>
          </w:tbl>
          <w:p w:rsidR="006A5726" w:rsidRPr="006A5726" w:rsidRDefault="006A5726" w:rsidP="006A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D508F" w:rsidRDefault="006A5726" w:rsidP="006A5726">
      <w:pPr>
        <w:spacing w:after="240" w:line="240" w:lineRule="auto"/>
      </w:pPr>
      <w:r w:rsidRPr="006A57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6A572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A5726">
        <w:rPr>
          <w:rFonts w:ascii="Times New Roman" w:eastAsia="Times New Roman" w:hAnsi="Times New Roman" w:cs="Times New Roman"/>
          <w:color w:val="898989"/>
          <w:sz w:val="24"/>
          <w:szCs w:val="24"/>
          <w:lang w:eastAsia="bg-BG"/>
        </w:rPr>
        <w:t>Оферта № E355</w:t>
      </w:r>
      <w:r w:rsidRPr="006A5726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A572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bookmarkStart w:id="0" w:name="_GoBack"/>
      <w:bookmarkEnd w:id="0"/>
    </w:p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523"/>
    <w:multiLevelType w:val="multilevel"/>
    <w:tmpl w:val="1C3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B3E3C"/>
    <w:multiLevelType w:val="multilevel"/>
    <w:tmpl w:val="82B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E1A6A"/>
    <w:multiLevelType w:val="multilevel"/>
    <w:tmpl w:val="021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26"/>
    <w:rsid w:val="006A5726"/>
    <w:rsid w:val="00A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616">
              <w:marLeft w:val="0"/>
              <w:marRight w:val="0"/>
              <w:marTop w:val="0"/>
              <w:marBottom w:val="0"/>
              <w:divBdr>
                <w:top w:val="single" w:sz="6" w:space="0" w:color="F1B921"/>
                <w:left w:val="single" w:sz="6" w:space="0" w:color="F1B921"/>
                <w:bottom w:val="single" w:sz="6" w:space="0" w:color="F1B921"/>
                <w:right w:val="single" w:sz="6" w:space="0" w:color="F1B921"/>
              </w:divBdr>
            </w:div>
            <w:div w:id="161900475">
              <w:marLeft w:val="0"/>
              <w:marRight w:val="0"/>
              <w:marTop w:val="0"/>
              <w:marBottom w:val="0"/>
              <w:divBdr>
                <w:top w:val="single" w:sz="6" w:space="0" w:color="F1B921"/>
                <w:left w:val="single" w:sz="6" w:space="0" w:color="F1B921"/>
                <w:bottom w:val="single" w:sz="6" w:space="0" w:color="F1B921"/>
                <w:right w:val="single" w:sz="6" w:space="0" w:color="F1B921"/>
              </w:divBdr>
            </w:div>
            <w:div w:id="692345956">
              <w:marLeft w:val="0"/>
              <w:marRight w:val="0"/>
              <w:marTop w:val="0"/>
              <w:marBottom w:val="0"/>
              <w:divBdr>
                <w:top w:val="single" w:sz="6" w:space="0" w:color="F1B921"/>
                <w:left w:val="single" w:sz="6" w:space="0" w:color="F1B921"/>
                <w:bottom w:val="single" w:sz="6" w:space="0" w:color="F1B921"/>
                <w:right w:val="single" w:sz="6" w:space="0" w:color="F1B921"/>
              </w:divBdr>
            </w:div>
            <w:div w:id="435491415">
              <w:marLeft w:val="0"/>
              <w:marRight w:val="0"/>
              <w:marTop w:val="0"/>
              <w:marBottom w:val="0"/>
              <w:divBdr>
                <w:top w:val="single" w:sz="6" w:space="0" w:color="F1B921"/>
                <w:left w:val="single" w:sz="6" w:space="0" w:color="F1B921"/>
                <w:bottom w:val="single" w:sz="6" w:space="0" w:color="F1B921"/>
                <w:right w:val="single" w:sz="6" w:space="0" w:color="F1B921"/>
              </w:divBdr>
            </w:div>
            <w:div w:id="12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dans-travel.com/img/PROGRAMI/BIG_temza_london_ekskurzia_1416993692355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dans-travel.com/img/PROGRAMI/BIG_samoletna_ekskurzia_parij_1416993692355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dans-travel.com/img/PROGRAMI/BIG_samoletni_ekskurzii_do_london_141699369235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dans-travel.com/reservation.php?p=355&amp;d=122755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dans-travel.com/img/PROGRAMI/BIG_versai_parij_ekskurzia_141699369235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2015-07-08T11:40:00Z</dcterms:created>
  <dcterms:modified xsi:type="dcterms:W3CDTF">2015-07-08T11:41:00Z</dcterms:modified>
</cp:coreProperties>
</file>