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9A" w:rsidRDefault="00F6219A" w:rsidP="00F6219A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9A" w:rsidRDefault="00F6219A" w:rsidP="00F6219A">
      <w:pPr>
        <w:rPr>
          <w:rFonts w:ascii="Verdana" w:hAnsi="Verdana"/>
          <w:color w:val="017FBE"/>
          <w:sz w:val="23"/>
          <w:szCs w:val="23"/>
        </w:rPr>
      </w:pPr>
    </w:p>
    <w:p w:rsidR="00F6219A" w:rsidRPr="00F6219A" w:rsidRDefault="00F6219A" w:rsidP="00F6219A">
      <w:pPr>
        <w:jc w:val="center"/>
        <w:rPr>
          <w:rFonts w:ascii="Verdana" w:hAnsi="Verdana"/>
          <w:sz w:val="32"/>
          <w:szCs w:val="32"/>
        </w:rPr>
      </w:pPr>
      <w:r w:rsidRPr="00F6219A">
        <w:rPr>
          <w:rFonts w:ascii="Verdana" w:hAnsi="Verdana"/>
          <w:b/>
          <w:bCs/>
          <w:sz w:val="32"/>
          <w:szCs w:val="32"/>
        </w:rPr>
        <w:t xml:space="preserve">Португалия </w:t>
      </w:r>
      <w:r w:rsidRPr="00F6219A">
        <w:rPr>
          <w:rFonts w:ascii="Verdana" w:hAnsi="Verdana"/>
          <w:b/>
          <w:bCs/>
          <w:sz w:val="32"/>
          <w:szCs w:val="32"/>
        </w:rPr>
        <w:t xml:space="preserve">- </w:t>
      </w:r>
      <w:r w:rsidRPr="00F6219A">
        <w:rPr>
          <w:rFonts w:ascii="Verdana" w:hAnsi="Verdana"/>
          <w:b/>
          <w:bCs/>
          <w:sz w:val="32"/>
          <w:szCs w:val="32"/>
        </w:rPr>
        <w:t xml:space="preserve">Испания </w:t>
      </w:r>
      <w:r w:rsidRPr="00F6219A">
        <w:rPr>
          <w:rFonts w:ascii="Verdana" w:hAnsi="Verdana"/>
          <w:b/>
          <w:bCs/>
          <w:sz w:val="32"/>
          <w:szCs w:val="32"/>
        </w:rPr>
        <w:t xml:space="preserve">с </w:t>
      </w:r>
      <w:proofErr w:type="spellStart"/>
      <w:r w:rsidRPr="00F6219A">
        <w:rPr>
          <w:rFonts w:ascii="Verdana" w:hAnsi="Verdana"/>
          <w:b/>
          <w:bCs/>
          <w:sz w:val="32"/>
          <w:szCs w:val="32"/>
        </w:rPr>
        <w:t>Андалусия</w:t>
      </w:r>
      <w:proofErr w:type="spellEnd"/>
      <w:r w:rsidRPr="00F6219A">
        <w:rPr>
          <w:rFonts w:ascii="Verdana" w:hAnsi="Verdana"/>
          <w:b/>
          <w:bCs/>
          <w:sz w:val="32"/>
          <w:szCs w:val="32"/>
        </w:rPr>
        <w:t xml:space="preserve"> през </w:t>
      </w:r>
      <w:r w:rsidRPr="00F6219A">
        <w:rPr>
          <w:rFonts w:ascii="Verdana" w:hAnsi="Verdana"/>
          <w:b/>
          <w:bCs/>
          <w:sz w:val="32"/>
          <w:szCs w:val="32"/>
        </w:rPr>
        <w:t>Франция</w:t>
      </w:r>
      <w:r w:rsidRPr="00F6219A">
        <w:rPr>
          <w:rFonts w:ascii="Verdana" w:hAnsi="Verdana"/>
          <w:b/>
          <w:bCs/>
          <w:sz w:val="32"/>
          <w:szCs w:val="32"/>
        </w:rPr>
        <w:t xml:space="preserve"> и</w:t>
      </w:r>
      <w:r w:rsidRPr="00F6219A">
        <w:rPr>
          <w:rFonts w:ascii="Verdana" w:hAnsi="Verdana"/>
          <w:b/>
          <w:bCs/>
          <w:sz w:val="32"/>
          <w:szCs w:val="32"/>
        </w:rPr>
        <w:t xml:space="preserve"> Италия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Цена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евро/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795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 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13.09.2013 г.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</w:t>
      </w:r>
      <w:r w:rsidR="008B2BB5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/ 1</w:t>
      </w:r>
      <w:r w:rsidR="008B2BB5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695538" w:rsidRDefault="00695538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- 1</w:t>
      </w:r>
      <w:r w:rsidR="00695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 3***:  по една в</w:t>
      </w:r>
      <w:r w:rsidR="00695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района на Любляна, Торино, района на Монпелие, района на Аликанте, Гранада, Севиля, </w:t>
      </w:r>
      <w:proofErr w:type="spellStart"/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Саламанка</w:t>
      </w:r>
      <w:proofErr w:type="spellEnd"/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Лигурската</w:t>
      </w:r>
      <w:proofErr w:type="spellEnd"/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Словения , по две в Лисабон и Мадрид и три в района на Коста Брава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6219A" w:rsidRDefault="00F6219A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- 3 вечери</w:t>
      </w:r>
      <w:r w:rsid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41556" w:rsidRDefault="00041556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 </w:t>
      </w:r>
      <w:r w:rsidRP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естни екскурзоводи за обиколката на Кордоба, Севиля и Лисабон</w:t>
      </w:r>
      <w:r w:rsidRPr="0004155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Екскурзовод на български език;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</w:t>
      </w:r>
      <w:r w:rsidR="004222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 с комфортен автобус </w:t>
      </w:r>
      <w:bookmarkStart w:id="0" w:name="_GoBack"/>
      <w:bookmarkEnd w:id="0"/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F6219A" w:rsidTr="00F6219A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19A" w:rsidRDefault="00F6219A" w:rsidP="00D0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-   Медицинска застраховка</w:t>
            </w:r>
            <w:r w:rsidR="00D007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дни с покритие 5000 евро</w:t>
            </w:r>
            <w:r w:rsidR="00D007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лица на възраст до 65 г - 15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</w:t>
            </w:r>
            <w:r w:rsidR="00D007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</w:t>
            </w:r>
            <w:r w:rsidR="00D007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лица на възраст от 75 г до 80 г – 3</w:t>
            </w:r>
            <w:r w:rsidR="00D007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</w:tbl>
    <w:p w:rsidR="00F6219A" w:rsidRDefault="00F6219A" w:rsidP="00432C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2CD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Доплащане за единична стая – 2</w:t>
      </w:r>
      <w:r w:rsidR="00432CD2" w:rsidRPr="00432CD2">
        <w:rPr>
          <w:rFonts w:ascii="Times New Roman" w:eastAsia="Times New Roman" w:hAnsi="Times New Roman" w:cs="Times New Roman"/>
          <w:sz w:val="24"/>
          <w:szCs w:val="24"/>
          <w:lang w:eastAsia="bg-BG"/>
        </w:rPr>
        <w:t>88</w:t>
      </w:r>
      <w:r w:rsidRPr="00432C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евро;</w:t>
      </w:r>
    </w:p>
    <w:p w:rsidR="00330B33" w:rsidRPr="00432CD2" w:rsidRDefault="00330B33" w:rsidP="00432C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B33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30B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ходни такси за посещаваните туристически обекти по програмата, организирано посещение на </w:t>
      </w:r>
      <w:proofErr w:type="spellStart"/>
      <w:r w:rsidRPr="00330B33">
        <w:rPr>
          <w:rFonts w:ascii="Times New Roman" w:eastAsia="Times New Roman" w:hAnsi="Times New Roman" w:cs="Times New Roman"/>
          <w:sz w:val="24"/>
          <w:szCs w:val="24"/>
          <w:lang w:eastAsia="bg-BG"/>
        </w:rPr>
        <w:t>Алхамбра</w:t>
      </w:r>
      <w:proofErr w:type="spellEnd"/>
      <w:r w:rsidRPr="00330B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- 32.00 ЕUR (включва предварително резервиран час за посещение, входна такса и беседа на придружаващ местен екскурзовод с превод на български език. Разрешеният брой за група е до 20 туристи. При по-голям брой желаещи се налага групата да се раздели на две, като всяка поотделно е с придружаващ екскурзовод).</w:t>
      </w:r>
    </w:p>
    <w:p w:rsidR="00432CD2" w:rsidRDefault="00432CD2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F6219A" w:rsidTr="00F6219A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19A" w:rsidRDefault="00F6219A">
            <w:pPr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19A" w:rsidRDefault="00F6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19A" w:rsidTr="00F6219A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19A" w:rsidRDefault="00F621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19A" w:rsidRDefault="00F6219A">
            <w:pPr>
              <w:spacing w:after="0"/>
              <w:rPr>
                <w:rFonts w:cs="Times New Roman"/>
              </w:rPr>
            </w:pPr>
          </w:p>
        </w:tc>
      </w:tr>
    </w:tbl>
    <w:p w:rsidR="00F6219A" w:rsidRPr="0043326C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Словения</w:t>
      </w:r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Торино – Авиньон – Монпелие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Коста Брава - Валенсия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Бенидорм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Аликанте – Гранада – Кордоба – Севиля – Лисабон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Синтра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Кашкайш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Ещорил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Фатима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Саламанка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Толедо - Мадрид – Сарагоса - Коста Брава - Барселона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Арл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43326C" w:rsidRPr="00433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Генуа</w:t>
      </w:r>
    </w:p>
    <w:p w:rsidR="0043326C" w:rsidRDefault="0043326C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ПРОГРАМА:</w:t>
      </w:r>
    </w:p>
    <w:p w:rsidR="00F6219A" w:rsidRDefault="00F6219A" w:rsidP="00F621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София – </w:t>
      </w:r>
      <w:r w:rsidR="00061E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Любляна</w:t>
      </w:r>
    </w:p>
    <w:p w:rsidR="00476CE5" w:rsidRPr="00476CE5" w:rsidRDefault="00476CE5" w:rsidP="00476CE5">
      <w:pPr>
        <w:pStyle w:val="a6"/>
        <w:spacing w:before="0" w:beforeAutospacing="0" w:after="0" w:afterAutospacing="0"/>
      </w:pPr>
      <w:r w:rsidRPr="00476CE5">
        <w:lastRenderedPageBreak/>
        <w:t>Тръгване от София в 08:00 ч. от Национален стадион “Васил Левски” и в 08:30 ч. от автогара “Сердика”. Транзитно преминаване през Сърбия и Хърватска. Пристигане в Любляна вечерта. Настаняване в хотел в района на Любляна. Нощувка.</w:t>
      </w:r>
    </w:p>
    <w:p w:rsidR="00476CE5" w:rsidRPr="00476CE5" w:rsidRDefault="00476CE5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1EDD" w:rsidRPr="00476CE5" w:rsidRDefault="00476CE5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Ден –</w:t>
      </w:r>
      <w:r w:rsidRPr="00476C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76C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Торино</w:t>
      </w:r>
    </w:p>
    <w:p w:rsidR="00476CE5" w:rsidRPr="00476CE5" w:rsidRDefault="00476CE5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6CE5" w:rsidRPr="00476CE5" w:rsidRDefault="00476CE5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Италия. Пристигане късния </w:t>
      </w:r>
      <w:proofErr w:type="spellStart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следобяд</w:t>
      </w:r>
      <w:proofErr w:type="spellEnd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Торино - столицата на областта </w:t>
      </w:r>
      <w:proofErr w:type="spellStart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>Пиедмонт</w:t>
      </w:r>
      <w:proofErr w:type="spellEnd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изящен бароков град, чието великолепие често се сравнява с това на Париж. Пешеходна обиколка с разглеждане отвън на следните забележителности: площад Карло – представителното лице на града с църквите Сан Карло и Санта Кристина, площад </w:t>
      </w:r>
      <w:proofErr w:type="spellStart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приютил пищния дворец Мадама и музея на древното изкуство, </w:t>
      </w:r>
      <w:proofErr w:type="spellStart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>Kралският</w:t>
      </w:r>
      <w:proofErr w:type="spellEnd"/>
      <w:r w:rsidRPr="00476C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дворец и Катедралата. Настаняване в хотел в района. Нощувка.</w:t>
      </w:r>
    </w:p>
    <w:p w:rsidR="00476CE5" w:rsidRDefault="00476CE5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1F54" w:rsidRPr="00C00614" w:rsidRDefault="00301F54" w:rsidP="00F62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006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Ден - </w:t>
      </w:r>
      <w:r w:rsidRPr="00C006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Авиньон – Монпелие</w:t>
      </w:r>
    </w:p>
    <w:p w:rsidR="00301F54" w:rsidRPr="00301F54" w:rsidRDefault="00301F54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1F54" w:rsidRPr="00301F54" w:rsidRDefault="00301F54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1F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френската провинция Прованс и Авиньон, известен като „втори Рим”, градът с най-красивия и най-големия архитектурен готически ансамбъл, състоящ се от Папския дворец,Катедралата и моста Свети </w:t>
      </w:r>
      <w:proofErr w:type="spellStart"/>
      <w:r w:rsidRPr="00301F54">
        <w:rPr>
          <w:rFonts w:ascii="Times New Roman" w:eastAsia="Times New Roman" w:hAnsi="Times New Roman" w:cs="Times New Roman"/>
          <w:sz w:val="24"/>
          <w:szCs w:val="24"/>
          <w:lang w:eastAsia="bg-BG"/>
        </w:rPr>
        <w:t>Бенезе</w:t>
      </w:r>
      <w:proofErr w:type="spellEnd"/>
      <w:r w:rsidRPr="00301F54">
        <w:rPr>
          <w:rFonts w:ascii="Times New Roman" w:eastAsia="Times New Roman" w:hAnsi="Times New Roman" w:cs="Times New Roman"/>
          <w:sz w:val="24"/>
          <w:szCs w:val="24"/>
          <w:lang w:eastAsia="bg-BG"/>
        </w:rPr>
        <w:t>(UNESCO). Продължаване за Монпелие. Настаняване в хотел</w:t>
      </w:r>
      <w:r w:rsidRPr="00301F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района</w:t>
      </w:r>
      <w:r w:rsidRPr="00301F5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F6219A" w:rsidRDefault="00F6219A" w:rsidP="00F6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508F" w:rsidRPr="00276417" w:rsidRDefault="00276417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76417">
        <w:rPr>
          <w:b/>
        </w:rPr>
        <w:t xml:space="preserve">4 Ден - </w:t>
      </w:r>
      <w:r w:rsidRPr="002764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Монпелие – </w:t>
      </w:r>
      <w:proofErr w:type="spellStart"/>
      <w:r w:rsidRPr="002764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Pr="002764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Коста Брава/ Коста дел </w:t>
      </w:r>
      <w:proofErr w:type="spellStart"/>
      <w:r w:rsidRPr="002764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276417" w:rsidRDefault="0027641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Разходка из Стария град на Монпелие и площада на Комедията, заобиколен от Операта и </w:t>
      </w:r>
      <w:proofErr w:type="spellStart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Еспланадата</w:t>
      </w:r>
      <w:proofErr w:type="spellEnd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Отпътуване за </w:t>
      </w:r>
      <w:proofErr w:type="spellStart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познат като най- цялостно укрепеният средновековен град в Европа, запазил се до днес. Туристическа програма - Базиликата Сен </w:t>
      </w:r>
      <w:proofErr w:type="spellStart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Назер</w:t>
      </w:r>
      <w:proofErr w:type="spellEnd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Нарбонската</w:t>
      </w:r>
      <w:proofErr w:type="spellEnd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врата, Къщата на Инквизицията. Продължаване за Испания. Пристигане в едно от курортните селища на Испанската </w:t>
      </w:r>
      <w:proofErr w:type="spellStart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/Коста Брава или Коста дел </w:t>
      </w:r>
      <w:proofErr w:type="spellStart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Pr="00276417">
        <w:rPr>
          <w:rFonts w:ascii="Times New Roman" w:eastAsia="Times New Roman" w:hAnsi="Times New Roman" w:cs="Times New Roman"/>
          <w:sz w:val="24"/>
          <w:szCs w:val="24"/>
          <w:lang w:eastAsia="bg-BG"/>
        </w:rPr>
        <w:t>/, разположени до Барселона. Настаняване в хотел. Вечеря. Нощувка.</w:t>
      </w:r>
    </w:p>
    <w:p w:rsidR="0097336F" w:rsidRPr="0097336F" w:rsidRDefault="0097336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733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- </w:t>
      </w:r>
      <w:r w:rsidRPr="009733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Валенсия – </w:t>
      </w:r>
      <w:proofErr w:type="spellStart"/>
      <w:r w:rsidRPr="009733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Бенидорм</w:t>
      </w:r>
      <w:proofErr w:type="spellEnd"/>
      <w:r w:rsidRPr="009733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733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9733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Аликанте</w:t>
      </w:r>
    </w:p>
    <w:p w:rsidR="0097336F" w:rsidRDefault="0097336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3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Валенсия. Разходка из старата част с Катедралата, Кулата </w:t>
      </w:r>
      <w:proofErr w:type="spellStart"/>
      <w:r w:rsidRPr="0097336F">
        <w:rPr>
          <w:rFonts w:ascii="Times New Roman" w:eastAsia="Times New Roman" w:hAnsi="Times New Roman" w:cs="Times New Roman"/>
          <w:sz w:val="24"/>
          <w:szCs w:val="24"/>
          <w:lang w:eastAsia="bg-BG"/>
        </w:rPr>
        <w:t>Мигелете</w:t>
      </w:r>
      <w:proofErr w:type="spellEnd"/>
      <w:r w:rsidRPr="009733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площада на Кметството. Посещение на “Града на бъдещето”. Продължаване за Аликанте с попътна спирка в известния курорт </w:t>
      </w:r>
      <w:proofErr w:type="spellStart"/>
      <w:r w:rsidRPr="0097336F">
        <w:rPr>
          <w:rFonts w:ascii="Times New Roman" w:eastAsia="Times New Roman" w:hAnsi="Times New Roman" w:cs="Times New Roman"/>
          <w:sz w:val="24"/>
          <w:szCs w:val="24"/>
          <w:lang w:eastAsia="bg-BG"/>
        </w:rPr>
        <w:t>Бенидорм</w:t>
      </w:r>
      <w:proofErr w:type="spellEnd"/>
      <w:r w:rsidRPr="0097336F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Пристигане в столицата на Коста Бланка, един от най – популярните туристически региони в Европа. Настаняване в хотел. Нощувка.</w:t>
      </w:r>
    </w:p>
    <w:p w:rsidR="00E61BBA" w:rsidRPr="00E61BBA" w:rsidRDefault="00E61BBA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1B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- </w:t>
      </w:r>
      <w:r w:rsidRPr="00E61B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Мурсия </w:t>
      </w:r>
      <w:r w:rsidRPr="00E61B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E61B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Гранада</w:t>
      </w:r>
    </w:p>
    <w:p w:rsidR="00E61BBA" w:rsidRDefault="00E61BB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през Мурсия за </w:t>
      </w:r>
      <w:proofErr w:type="spellStart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>Андалусия</w:t>
      </w:r>
      <w:proofErr w:type="spellEnd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родината на </w:t>
      </w:r>
      <w:proofErr w:type="spellStart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>фламенкото</w:t>
      </w:r>
      <w:proofErr w:type="spellEnd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борбата с бикове. Пристигане в Гранада. Туристическа програма – дворецът </w:t>
      </w:r>
      <w:proofErr w:type="spellStart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>Аламбра</w:t>
      </w:r>
      <w:proofErr w:type="spellEnd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един от върховете в ислямското изкуство(изисква се предварителна заявка за резервация на час за влизане), градините на </w:t>
      </w:r>
      <w:proofErr w:type="spellStart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>Женералифе</w:t>
      </w:r>
      <w:proofErr w:type="spellEnd"/>
      <w:r w:rsidRPr="00E61B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(UNESCO). Настаняване в хотел. Нощувка.</w:t>
      </w:r>
    </w:p>
    <w:p w:rsidR="0017714C" w:rsidRPr="00C8500D" w:rsidRDefault="0017714C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- </w:t>
      </w:r>
      <w:r w:rsidR="00C8500D"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Кордоба </w:t>
      </w:r>
      <w:r w:rsidR="00C8500D"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C8500D"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Севиля</w:t>
      </w:r>
    </w:p>
    <w:p w:rsidR="00C8500D" w:rsidRDefault="00C8500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Закуска. Отпътуване за Кордоба. Туристическа програма: историческият център (UNESCO), римският мост, кулата </w:t>
      </w:r>
      <w:proofErr w:type="spellStart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Калаора</w:t>
      </w:r>
      <w:proofErr w:type="spellEnd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Еврейският квартал със Синагогата и старата джамия Ла </w:t>
      </w:r>
      <w:proofErr w:type="spellStart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Мескита</w:t>
      </w:r>
      <w:proofErr w:type="spellEnd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Продължаване за Севиля. Настаняване в хотел. Нощувка.</w:t>
      </w:r>
    </w:p>
    <w:p w:rsidR="00C8500D" w:rsidRPr="00C8500D" w:rsidRDefault="00C8500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- </w:t>
      </w:r>
      <w:r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Севиля </w:t>
      </w:r>
      <w:r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C850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Лисабон</w:t>
      </w:r>
    </w:p>
    <w:p w:rsidR="00C8500D" w:rsidRPr="00C8500D" w:rsidRDefault="00C8500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Туристическа програма в Севиля: </w:t>
      </w:r>
      <w:proofErr w:type="spellStart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>Хиралда</w:t>
      </w:r>
      <w:proofErr w:type="spellEnd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Катедралата (UNESCO), Дворецът </w:t>
      </w:r>
      <w:proofErr w:type="spellStart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>Алкасар</w:t>
      </w:r>
      <w:proofErr w:type="spellEnd"/>
      <w:r w:rsidRPr="00C850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кварталът Санта Крус. Отпътуване за Португалия. Настаняване в хотел в Лисабон. Нощувка.</w:t>
      </w:r>
    </w:p>
    <w:p w:rsidR="00C8500D" w:rsidRPr="00982E01" w:rsidRDefault="00982E0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9 Ден - </w:t>
      </w: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Лисабон – </w:t>
      </w:r>
      <w:proofErr w:type="spellStart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Синтра</w:t>
      </w:r>
      <w:proofErr w:type="spellEnd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Кабо да Рока – </w:t>
      </w:r>
      <w:proofErr w:type="spellStart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Кашкайш</w:t>
      </w:r>
      <w:proofErr w:type="spellEnd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Ещорил</w:t>
      </w:r>
      <w:proofErr w:type="spellEnd"/>
    </w:p>
    <w:p w:rsidR="00982E01" w:rsidRPr="00982E01" w:rsidRDefault="00982E0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Туристическа програма в Лисабон. Обиколката започва от оживения площад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Росио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истинския център на града, следва кулата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Белем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Манастирът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Жеронимос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Музеят на каляските. Продължаване за най – западната точка на Европа Кабо да Рока. Спирка за разглеждане на Националния Дворец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Синтра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в отдавна предпочитаното място от португалските крале и английските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благородници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Разходка из красивия морски курорт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Кашкайш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минаване през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Ещорил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. Връщане в Лисабон. По желание и срещу допълнително заплащане посещение на фолклорно заведение (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Фадо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). Нощувка.</w:t>
      </w:r>
    </w:p>
    <w:p w:rsidR="00982E01" w:rsidRPr="00982E01" w:rsidRDefault="00982E0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Ден - </w:t>
      </w: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Фатима – </w:t>
      </w:r>
      <w:proofErr w:type="spellStart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Саламанка</w:t>
      </w:r>
      <w:proofErr w:type="spellEnd"/>
    </w:p>
    <w:p w:rsidR="00982E01" w:rsidRPr="00982E01" w:rsidRDefault="00982E0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Фатима, едно от най – известните поклоннически места в Европа, свързано с чудотворното появяване на Света Богородица и нейните предсказания за бъдещето на света. Продължаване за Испания.. Пристигане вечерта в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Саламанка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Нощувка.</w:t>
      </w:r>
    </w:p>
    <w:p w:rsidR="00982E01" w:rsidRPr="00982E01" w:rsidRDefault="00982E0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11 Ден - </w:t>
      </w:r>
      <w:proofErr w:type="spellStart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Саламанка</w:t>
      </w:r>
      <w:proofErr w:type="spellEnd"/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Толедо </w:t>
      </w: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Мадрид</w:t>
      </w:r>
    </w:p>
    <w:p w:rsidR="00982E01" w:rsidRDefault="00982E0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Разходка из старата част на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Саламанка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(UNESCO). Отпътуване за Толедо. Разглеждане на историческия град (UNESCO) с Катедралата, църквата Санто Томе, Синагогата. Продължаване за Мадрид. Настаняване в хотел. Свободно време. Нощувка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2E01" w:rsidRPr="00982E01" w:rsidRDefault="00982E0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 Ден – Мадрид</w:t>
      </w:r>
    </w:p>
    <w:p w:rsidR="00982E01" w:rsidRDefault="00982E0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Туристическа полудневна програма в Мадрид – площад Испания, площад Ориенте, Катедралата Свети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Исидор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Кралският дворец, площад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Пуерта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дел Сол, площад Майор. Свободно време. По желание посещение на музея </w:t>
      </w:r>
      <w:proofErr w:type="spellStart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Прадо</w:t>
      </w:r>
      <w:proofErr w:type="spellEnd"/>
      <w:r w:rsidRPr="00982E01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9E77BB" w:rsidRPr="009E77BB" w:rsidRDefault="009E77B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7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13 Ден- </w:t>
      </w:r>
      <w:r w:rsidRPr="009E7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Мадрид – Сарагоса - Коста Брава/ </w:t>
      </w:r>
      <w:proofErr w:type="spellStart"/>
      <w:r w:rsidRPr="009E77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9E77BB" w:rsidRDefault="009E77B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77B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Отпътуване за Коста Брава/</w:t>
      </w:r>
      <w:proofErr w:type="spellStart"/>
      <w:r w:rsidRPr="009E77B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Pr="009E77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кратък престой в Сарагоса – столицата на провинция Арагон с посещение на Катедралата </w:t>
      </w:r>
      <w:proofErr w:type="spellStart"/>
      <w:r w:rsidRPr="009E77BB">
        <w:rPr>
          <w:rFonts w:ascii="Times New Roman" w:eastAsia="Times New Roman" w:hAnsi="Times New Roman" w:cs="Times New Roman"/>
          <w:sz w:val="24"/>
          <w:szCs w:val="24"/>
          <w:lang w:eastAsia="bg-BG"/>
        </w:rPr>
        <w:t>Пилар</w:t>
      </w:r>
      <w:proofErr w:type="spellEnd"/>
      <w:r w:rsidRPr="009E77BB">
        <w:rPr>
          <w:rFonts w:ascii="Times New Roman" w:eastAsia="Times New Roman" w:hAnsi="Times New Roman" w:cs="Times New Roman"/>
          <w:sz w:val="24"/>
          <w:szCs w:val="24"/>
          <w:lang w:eastAsia="bg-BG"/>
        </w:rPr>
        <w:t>. Късно настаняване в хотел в едно от курортните селища. Вечеря. Нощувка.</w:t>
      </w:r>
    </w:p>
    <w:p w:rsidR="00E661B0" w:rsidRPr="00E661B0" w:rsidRDefault="00E661B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61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14 Ден - </w:t>
      </w:r>
      <w:r w:rsidRPr="00E661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Барселона – Коста Брава/ Коста дел </w:t>
      </w:r>
      <w:proofErr w:type="spellStart"/>
      <w:r w:rsidRPr="00E661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E661B0" w:rsidRDefault="00E661B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Закуска. Отпътуване за Барселона. Панорамна автобусна обиколка, включваща старото пристанище с паметника на Колумб, Ла 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Педрера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Ла 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Саграда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Фамилия, парка 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Гуел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Националния дворец, хълма 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Монджуик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“Олимпийския пръстен”. Пешеходна разходка по известната улица Лас 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Рамблас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 Готическия квартал и площад Реал. Свободно време. Връщане в хотела на Коста Брава/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Вечеря. По желание и срещу допълнително заплащане </w:t>
      </w:r>
      <w:proofErr w:type="spellStart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>фламенко</w:t>
      </w:r>
      <w:proofErr w:type="spellEnd"/>
      <w:r w:rsidRPr="00E661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шоу. Нощувка.</w:t>
      </w:r>
    </w:p>
    <w:p w:rsidR="000E7799" w:rsidRPr="00705233" w:rsidRDefault="000E7799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15 Ден - </w:t>
      </w:r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Прованс – </w:t>
      </w:r>
      <w:proofErr w:type="spellStart"/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Арл</w:t>
      </w:r>
      <w:proofErr w:type="spellEnd"/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proofErr w:type="spellStart"/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Лигурска</w:t>
      </w:r>
      <w:proofErr w:type="spellEnd"/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Ривиера</w:t>
      </w:r>
      <w:proofErr w:type="spellEnd"/>
    </w:p>
    <w:p w:rsidR="000E7799" w:rsidRPr="009E77BB" w:rsidRDefault="000E779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Франция и областта Прованс. Попътна спирка за снимки на известния и единствен останал невредим вече 2000 г. римски акведукт </w:t>
      </w:r>
      <w:proofErr w:type="spellStart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Пон</w:t>
      </w:r>
      <w:proofErr w:type="spellEnd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дьо </w:t>
      </w:r>
      <w:proofErr w:type="spellStart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</w:t>
      </w:r>
      <w:proofErr w:type="spellEnd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Италия през </w:t>
      </w:r>
      <w:proofErr w:type="spellStart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>Арл</w:t>
      </w:r>
      <w:proofErr w:type="spellEnd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Наричан още “душата на Прованс”, този град на река Рона привлича като магнит археолози, любители на изкуството и историци. Пристигане на </w:t>
      </w:r>
      <w:proofErr w:type="spellStart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</w:t>
      </w:r>
      <w:proofErr w:type="spellEnd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0E7799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Нощувка.</w:t>
      </w:r>
    </w:p>
    <w:p w:rsidR="009E77BB" w:rsidRPr="00705233" w:rsidRDefault="000E7799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16 Ден - </w:t>
      </w:r>
      <w:r w:rsidR="00705233"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Генуа </w:t>
      </w:r>
      <w:r w:rsidR="00705233"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–Словения</w:t>
      </w:r>
    </w:p>
    <w:p w:rsidR="00705233" w:rsidRPr="00705233" w:rsidRDefault="0070523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Генуа. Туристическа програма: площад </w:t>
      </w:r>
      <w:proofErr w:type="spellStart"/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>Ферари</w:t>
      </w:r>
      <w:proofErr w:type="spellEnd"/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сърцето на града, църквата Сан </w:t>
      </w:r>
      <w:proofErr w:type="spellStart"/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Матео</w:t>
      </w:r>
      <w:proofErr w:type="spellEnd"/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Сан </w:t>
      </w:r>
      <w:proofErr w:type="spellStart"/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Лоренцо</w:t>
      </w:r>
      <w:proofErr w:type="spellEnd"/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Продължаване за Словения. Настаняване вечерта в хотел. Нощувка.</w:t>
      </w:r>
    </w:p>
    <w:p w:rsidR="00705233" w:rsidRPr="00705233" w:rsidRDefault="0070523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52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 Ден – България</w:t>
      </w:r>
    </w:p>
    <w:p w:rsidR="00705233" w:rsidRPr="00705233" w:rsidRDefault="0070523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Продължаване за България. Пристигане в София</w:t>
      </w:r>
      <w:r w:rsidRPr="007052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вечерта</w:t>
      </w:r>
    </w:p>
    <w:p w:rsidR="00705233" w:rsidRPr="00C8500D" w:rsidRDefault="0070523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705233" w:rsidRPr="00C8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9A"/>
    <w:rsid w:val="00041556"/>
    <w:rsid w:val="00061EDD"/>
    <w:rsid w:val="000E7799"/>
    <w:rsid w:val="0017714C"/>
    <w:rsid w:val="00276417"/>
    <w:rsid w:val="00301F54"/>
    <w:rsid w:val="00330B33"/>
    <w:rsid w:val="004222CA"/>
    <w:rsid w:val="00432CD2"/>
    <w:rsid w:val="0043326C"/>
    <w:rsid w:val="00476CE5"/>
    <w:rsid w:val="00695538"/>
    <w:rsid w:val="00705233"/>
    <w:rsid w:val="008B2BB5"/>
    <w:rsid w:val="0097336F"/>
    <w:rsid w:val="00982E01"/>
    <w:rsid w:val="009E77BB"/>
    <w:rsid w:val="00AD508F"/>
    <w:rsid w:val="00C00614"/>
    <w:rsid w:val="00C8500D"/>
    <w:rsid w:val="00D00753"/>
    <w:rsid w:val="00E61BBA"/>
    <w:rsid w:val="00E661B0"/>
    <w:rsid w:val="00F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621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621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2013-06-18T14:48:00Z</dcterms:created>
  <dcterms:modified xsi:type="dcterms:W3CDTF">2013-06-18T15:47:00Z</dcterms:modified>
</cp:coreProperties>
</file>